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36B" w14:textId="68A4F998" w:rsidR="005830B8" w:rsidRDefault="005830B8" w:rsidP="005830B8">
      <w:pPr>
        <w:spacing w:line="480" w:lineRule="auto"/>
        <w:jc w:val="both"/>
        <w:rPr>
          <w:rFonts w:ascii="Times New Roman" w:hAnsi="Times New Roman" w:cs="Times New Roman"/>
          <w:sz w:val="24"/>
          <w:szCs w:val="24"/>
        </w:rPr>
      </w:pPr>
      <w:r>
        <w:rPr>
          <w:rFonts w:ascii="Times New Roman" w:hAnsi="Times New Roman" w:cs="Times New Roman"/>
          <w:sz w:val="24"/>
          <w:szCs w:val="24"/>
        </w:rPr>
        <w:t>Hannah Stainton</w:t>
      </w:r>
    </w:p>
    <w:p w14:paraId="1C08232C" w14:textId="0BC9AEBE" w:rsidR="005830B8" w:rsidRDefault="005830B8" w:rsidP="005830B8">
      <w:pPr>
        <w:spacing w:line="480" w:lineRule="auto"/>
        <w:jc w:val="both"/>
        <w:rPr>
          <w:rFonts w:ascii="Times New Roman" w:hAnsi="Times New Roman" w:cs="Times New Roman"/>
          <w:sz w:val="24"/>
          <w:szCs w:val="24"/>
        </w:rPr>
      </w:pPr>
      <w:r>
        <w:rPr>
          <w:rFonts w:ascii="Times New Roman" w:hAnsi="Times New Roman" w:cs="Times New Roman"/>
          <w:sz w:val="24"/>
          <w:szCs w:val="24"/>
        </w:rPr>
        <w:t>T00576924</w:t>
      </w:r>
    </w:p>
    <w:p w14:paraId="53415A2E" w14:textId="745D6441" w:rsidR="005830B8" w:rsidRDefault="005830B8" w:rsidP="005830B8">
      <w:pPr>
        <w:spacing w:line="480" w:lineRule="auto"/>
        <w:jc w:val="both"/>
        <w:rPr>
          <w:rFonts w:ascii="Times New Roman" w:hAnsi="Times New Roman" w:cs="Times New Roman"/>
          <w:sz w:val="24"/>
          <w:szCs w:val="24"/>
        </w:rPr>
      </w:pPr>
      <w:r>
        <w:rPr>
          <w:rFonts w:ascii="Times New Roman" w:hAnsi="Times New Roman" w:cs="Times New Roman"/>
          <w:sz w:val="24"/>
          <w:szCs w:val="24"/>
        </w:rPr>
        <w:t>History 3510</w:t>
      </w:r>
    </w:p>
    <w:p w14:paraId="02FC29D5" w14:textId="739DB075" w:rsidR="00B14F61" w:rsidRDefault="00B14F61" w:rsidP="00B14F61">
      <w:pPr>
        <w:spacing w:line="480" w:lineRule="auto"/>
        <w:jc w:val="center"/>
        <w:rPr>
          <w:rFonts w:ascii="Times New Roman" w:hAnsi="Times New Roman" w:cs="Times New Roman"/>
          <w:sz w:val="24"/>
          <w:szCs w:val="24"/>
        </w:rPr>
      </w:pPr>
      <w:r>
        <w:rPr>
          <w:rFonts w:ascii="Times New Roman" w:hAnsi="Times New Roman" w:cs="Times New Roman"/>
          <w:sz w:val="24"/>
          <w:szCs w:val="24"/>
        </w:rPr>
        <w:t>Religious Influence on Sex Education (Ontario 19</w:t>
      </w:r>
      <w:r w:rsidR="00611346">
        <w:rPr>
          <w:rFonts w:ascii="Times New Roman" w:hAnsi="Times New Roman" w:cs="Times New Roman"/>
          <w:sz w:val="24"/>
          <w:szCs w:val="24"/>
        </w:rPr>
        <w:t>6</w:t>
      </w:r>
      <w:r>
        <w:rPr>
          <w:rFonts w:ascii="Times New Roman" w:hAnsi="Times New Roman" w:cs="Times New Roman"/>
          <w:sz w:val="24"/>
          <w:szCs w:val="24"/>
        </w:rPr>
        <w:t>0 to Present Day)</w:t>
      </w:r>
    </w:p>
    <w:p w14:paraId="783AA142" w14:textId="67403D60" w:rsidR="00B14F61" w:rsidRDefault="00B14F61" w:rsidP="00B570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Sex education</w:t>
      </w:r>
      <w:r w:rsidR="00DA4DE3">
        <w:rPr>
          <w:rFonts w:ascii="Times New Roman" w:hAnsi="Times New Roman" w:cs="Times New Roman"/>
          <w:sz w:val="24"/>
          <w:szCs w:val="24"/>
        </w:rPr>
        <w:t xml:space="preserve"> has been called many things over the last century and half; it has morphed from a social movement into mandatory curriculum</w:t>
      </w:r>
      <w:r w:rsidR="003F22BE">
        <w:rPr>
          <w:rFonts w:ascii="Times New Roman" w:hAnsi="Times New Roman" w:cs="Times New Roman"/>
          <w:sz w:val="24"/>
          <w:szCs w:val="24"/>
        </w:rPr>
        <w:t xml:space="preserve"> in schools</w:t>
      </w:r>
      <w:r w:rsidR="00DA4DE3">
        <w:rPr>
          <w:rFonts w:ascii="Times New Roman" w:hAnsi="Times New Roman" w:cs="Times New Roman"/>
          <w:sz w:val="24"/>
          <w:szCs w:val="24"/>
        </w:rPr>
        <w:t>. It can be traced back as early as 1880’s</w:t>
      </w:r>
      <w:r w:rsidR="00F363FF">
        <w:rPr>
          <w:rFonts w:ascii="Times New Roman" w:hAnsi="Times New Roman" w:cs="Times New Roman"/>
          <w:sz w:val="24"/>
          <w:szCs w:val="24"/>
        </w:rPr>
        <w:t xml:space="preserve"> during</w:t>
      </w:r>
      <w:r w:rsidR="00DA4DE3">
        <w:rPr>
          <w:rFonts w:ascii="Times New Roman" w:hAnsi="Times New Roman" w:cs="Times New Roman"/>
          <w:sz w:val="24"/>
          <w:szCs w:val="24"/>
        </w:rPr>
        <w:t xml:space="preserve"> the Social Purity </w:t>
      </w:r>
      <w:r w:rsidR="00F363FF">
        <w:rPr>
          <w:rFonts w:ascii="Times New Roman" w:hAnsi="Times New Roman" w:cs="Times New Roman"/>
          <w:sz w:val="24"/>
          <w:szCs w:val="24"/>
        </w:rPr>
        <w:t>Movement,</w:t>
      </w:r>
      <w:r w:rsidR="00DA4DE3">
        <w:rPr>
          <w:rFonts w:ascii="Times New Roman" w:hAnsi="Times New Roman" w:cs="Times New Roman"/>
          <w:sz w:val="24"/>
          <w:szCs w:val="24"/>
        </w:rPr>
        <w:t xml:space="preserve"> which began in England and quickly took hold in Canada</w:t>
      </w:r>
      <w:r w:rsidR="00DA4DE3">
        <w:rPr>
          <w:rStyle w:val="FootnoteReference"/>
          <w:rFonts w:ascii="Times New Roman" w:hAnsi="Times New Roman" w:cs="Times New Roman"/>
          <w:sz w:val="24"/>
          <w:szCs w:val="24"/>
        </w:rPr>
        <w:footnoteReference w:id="1"/>
      </w:r>
      <w:r w:rsidR="00DA4DE3">
        <w:rPr>
          <w:rFonts w:ascii="Times New Roman" w:hAnsi="Times New Roman" w:cs="Times New Roman"/>
          <w:sz w:val="24"/>
          <w:szCs w:val="24"/>
        </w:rPr>
        <w:t>.</w:t>
      </w:r>
      <w:r w:rsidR="00F363FF">
        <w:rPr>
          <w:rFonts w:ascii="Times New Roman" w:hAnsi="Times New Roman" w:cs="Times New Roman"/>
          <w:sz w:val="24"/>
          <w:szCs w:val="24"/>
        </w:rPr>
        <w:t xml:space="preserve"> The Social Purity Movement was meant to eradicate “prostitution, the double standard of sexual morals and their dreaded corollary, the venereal diseases”</w:t>
      </w:r>
      <w:r w:rsidR="00F363FF">
        <w:rPr>
          <w:rStyle w:val="FootnoteReference"/>
          <w:rFonts w:ascii="Times New Roman" w:hAnsi="Times New Roman" w:cs="Times New Roman"/>
          <w:sz w:val="24"/>
          <w:szCs w:val="24"/>
        </w:rPr>
        <w:footnoteReference w:id="2"/>
      </w:r>
      <w:r w:rsidR="00F363FF">
        <w:rPr>
          <w:rFonts w:ascii="Times New Roman" w:hAnsi="Times New Roman" w:cs="Times New Roman"/>
          <w:sz w:val="24"/>
          <w:szCs w:val="24"/>
        </w:rPr>
        <w:t xml:space="preserve">. The advocates of this movement </w:t>
      </w:r>
      <w:r w:rsidR="000C042B">
        <w:rPr>
          <w:rFonts w:ascii="Times New Roman" w:hAnsi="Times New Roman" w:cs="Times New Roman"/>
          <w:sz w:val="24"/>
          <w:szCs w:val="24"/>
        </w:rPr>
        <w:t xml:space="preserve">targeted children and parents </w:t>
      </w:r>
      <w:r w:rsidR="00597621">
        <w:rPr>
          <w:rFonts w:ascii="Times New Roman" w:hAnsi="Times New Roman" w:cs="Times New Roman"/>
          <w:sz w:val="24"/>
          <w:szCs w:val="24"/>
        </w:rPr>
        <w:t>part</w:t>
      </w:r>
      <w:r w:rsidR="000C042B">
        <w:rPr>
          <w:rFonts w:ascii="Times New Roman" w:hAnsi="Times New Roman" w:cs="Times New Roman"/>
          <w:sz w:val="24"/>
          <w:szCs w:val="24"/>
        </w:rPr>
        <w:t xml:space="preserve"> of the white, middle-class</w:t>
      </w:r>
      <w:r w:rsidR="00D206E7">
        <w:rPr>
          <w:rFonts w:ascii="Times New Roman" w:hAnsi="Times New Roman" w:cs="Times New Roman"/>
          <w:sz w:val="24"/>
          <w:szCs w:val="24"/>
        </w:rPr>
        <w:t xml:space="preserve"> Christian </w:t>
      </w:r>
      <w:r w:rsidR="00B351E4">
        <w:rPr>
          <w:rFonts w:ascii="Times New Roman" w:hAnsi="Times New Roman" w:cs="Times New Roman"/>
          <w:sz w:val="24"/>
          <w:szCs w:val="24"/>
        </w:rPr>
        <w:t>E</w:t>
      </w:r>
      <w:r w:rsidR="00D206E7">
        <w:rPr>
          <w:rFonts w:ascii="Times New Roman" w:hAnsi="Times New Roman" w:cs="Times New Roman"/>
          <w:sz w:val="24"/>
          <w:szCs w:val="24"/>
        </w:rPr>
        <w:t>vangelicals</w:t>
      </w:r>
      <w:r w:rsidR="00F363FF">
        <w:rPr>
          <w:rFonts w:ascii="Times New Roman" w:hAnsi="Times New Roman" w:cs="Times New Roman"/>
          <w:sz w:val="24"/>
          <w:szCs w:val="24"/>
        </w:rPr>
        <w:t>. To</w:t>
      </w:r>
      <w:r w:rsidR="00BA194D">
        <w:rPr>
          <w:rFonts w:ascii="Times New Roman" w:hAnsi="Times New Roman" w:cs="Times New Roman"/>
          <w:sz w:val="24"/>
          <w:szCs w:val="24"/>
        </w:rPr>
        <w:t xml:space="preserve"> accomplish </w:t>
      </w:r>
      <w:r w:rsidR="00F363FF">
        <w:rPr>
          <w:rFonts w:ascii="Times New Roman" w:hAnsi="Times New Roman" w:cs="Times New Roman"/>
          <w:sz w:val="24"/>
          <w:szCs w:val="24"/>
        </w:rPr>
        <w:t>the desired outcomes</w:t>
      </w:r>
      <w:r w:rsidR="00BA194D">
        <w:rPr>
          <w:rFonts w:ascii="Times New Roman" w:hAnsi="Times New Roman" w:cs="Times New Roman"/>
          <w:sz w:val="24"/>
          <w:szCs w:val="24"/>
        </w:rPr>
        <w:t xml:space="preserve"> </w:t>
      </w:r>
      <w:r w:rsidR="00F363FF">
        <w:rPr>
          <w:rFonts w:ascii="Times New Roman" w:hAnsi="Times New Roman" w:cs="Times New Roman"/>
          <w:sz w:val="24"/>
          <w:szCs w:val="24"/>
        </w:rPr>
        <w:t>the</w:t>
      </w:r>
      <w:r w:rsidR="00BA194D">
        <w:rPr>
          <w:rFonts w:ascii="Times New Roman" w:hAnsi="Times New Roman" w:cs="Times New Roman"/>
          <w:sz w:val="24"/>
          <w:szCs w:val="24"/>
        </w:rPr>
        <w:t xml:space="preserve"> purist advocates</w:t>
      </w:r>
      <w:r w:rsidR="00F363FF">
        <w:rPr>
          <w:rFonts w:ascii="Times New Roman" w:hAnsi="Times New Roman" w:cs="Times New Roman"/>
          <w:sz w:val="24"/>
          <w:szCs w:val="24"/>
        </w:rPr>
        <w:t xml:space="preserve"> pushed the ‘abstinence agenda’ which “promoted heterosexual conventions such as chastity before monogamous marriage, procreative marital sex and sound parenthood thereafter”</w:t>
      </w:r>
      <w:r w:rsidR="00F363FF">
        <w:rPr>
          <w:rStyle w:val="FootnoteReference"/>
          <w:rFonts w:ascii="Times New Roman" w:hAnsi="Times New Roman" w:cs="Times New Roman"/>
          <w:sz w:val="24"/>
          <w:szCs w:val="24"/>
        </w:rPr>
        <w:footnoteReference w:id="3"/>
      </w:r>
      <w:r w:rsidR="00F363FF">
        <w:rPr>
          <w:rFonts w:ascii="Times New Roman" w:hAnsi="Times New Roman" w:cs="Times New Roman"/>
          <w:sz w:val="24"/>
          <w:szCs w:val="24"/>
        </w:rPr>
        <w:t xml:space="preserve">. </w:t>
      </w:r>
      <w:r w:rsidR="00BA194D">
        <w:rPr>
          <w:rFonts w:ascii="Times New Roman" w:hAnsi="Times New Roman" w:cs="Times New Roman"/>
          <w:sz w:val="24"/>
          <w:szCs w:val="24"/>
        </w:rPr>
        <w:t>By the 1900’s the venereal disease outbreak had become a threat to the public therefore the need for sex education became dire. The question which followed was where, who and when would sex education be taught to children? Social purist produced the books which then bec</w:t>
      </w:r>
      <w:r w:rsidR="00B20225">
        <w:rPr>
          <w:rFonts w:ascii="Times New Roman" w:hAnsi="Times New Roman" w:cs="Times New Roman"/>
          <w:sz w:val="24"/>
          <w:szCs w:val="24"/>
        </w:rPr>
        <w:t>a</w:t>
      </w:r>
      <w:r w:rsidR="00BA194D">
        <w:rPr>
          <w:rFonts w:ascii="Times New Roman" w:hAnsi="Times New Roman" w:cs="Times New Roman"/>
          <w:sz w:val="24"/>
          <w:szCs w:val="24"/>
        </w:rPr>
        <w:t>me purity education, with hope that the children who read them would adopt the abstinence agenda.</w:t>
      </w:r>
      <w:r w:rsidR="00BA194D">
        <w:rPr>
          <w:rStyle w:val="FootnoteReference"/>
          <w:rFonts w:ascii="Times New Roman" w:hAnsi="Times New Roman" w:cs="Times New Roman"/>
          <w:sz w:val="24"/>
          <w:szCs w:val="24"/>
        </w:rPr>
        <w:footnoteReference w:id="4"/>
      </w:r>
      <w:r w:rsidR="006D5E26">
        <w:rPr>
          <w:rFonts w:ascii="Times New Roman" w:hAnsi="Times New Roman" w:cs="Times New Roman"/>
          <w:sz w:val="24"/>
          <w:szCs w:val="24"/>
        </w:rPr>
        <w:t xml:space="preserve"> This was the first time that scientific knowledge was adopted to teach reproduction to children.</w:t>
      </w:r>
      <w:r w:rsidR="00B75C7C">
        <w:rPr>
          <w:rFonts w:ascii="Times New Roman" w:hAnsi="Times New Roman" w:cs="Times New Roman"/>
          <w:sz w:val="24"/>
          <w:szCs w:val="24"/>
        </w:rPr>
        <w:t xml:space="preserve"> These books used the reproduction systems from plants and animals </w:t>
      </w:r>
      <w:r w:rsidR="00833861">
        <w:rPr>
          <w:rFonts w:ascii="Times New Roman" w:hAnsi="Times New Roman" w:cs="Times New Roman"/>
          <w:sz w:val="24"/>
          <w:szCs w:val="24"/>
        </w:rPr>
        <w:t>to explain the life cycle and how reproduction happened.</w:t>
      </w:r>
      <w:r w:rsidR="004A2DB4">
        <w:rPr>
          <w:rFonts w:ascii="Times New Roman" w:hAnsi="Times New Roman" w:cs="Times New Roman"/>
          <w:sz w:val="24"/>
          <w:szCs w:val="24"/>
        </w:rPr>
        <w:t xml:space="preserve"> </w:t>
      </w:r>
      <w:r w:rsidR="00397D0D">
        <w:rPr>
          <w:rFonts w:ascii="Times New Roman" w:hAnsi="Times New Roman" w:cs="Times New Roman"/>
          <w:sz w:val="24"/>
          <w:szCs w:val="24"/>
        </w:rPr>
        <w:t xml:space="preserve">Following </w:t>
      </w:r>
      <w:r w:rsidR="004A2DB4">
        <w:rPr>
          <w:rFonts w:ascii="Times New Roman" w:hAnsi="Times New Roman" w:cs="Times New Roman"/>
          <w:sz w:val="24"/>
          <w:szCs w:val="24"/>
        </w:rPr>
        <w:t xml:space="preserve">World </w:t>
      </w:r>
      <w:r w:rsidR="004A2DB4">
        <w:rPr>
          <w:rFonts w:ascii="Times New Roman" w:hAnsi="Times New Roman" w:cs="Times New Roman"/>
          <w:sz w:val="24"/>
          <w:szCs w:val="24"/>
        </w:rPr>
        <w:lastRenderedPageBreak/>
        <w:t xml:space="preserve">War I the Social Hygiene Movement </w:t>
      </w:r>
      <w:r w:rsidR="00FA7CE9">
        <w:rPr>
          <w:rFonts w:ascii="Times New Roman" w:hAnsi="Times New Roman" w:cs="Times New Roman"/>
          <w:sz w:val="24"/>
          <w:szCs w:val="24"/>
        </w:rPr>
        <w:t>took off</w:t>
      </w:r>
      <w:r w:rsidR="004A2DB4">
        <w:rPr>
          <w:rFonts w:ascii="Times New Roman" w:hAnsi="Times New Roman" w:cs="Times New Roman"/>
          <w:sz w:val="24"/>
          <w:szCs w:val="24"/>
        </w:rPr>
        <w:t xml:space="preserve">. </w:t>
      </w:r>
      <w:r w:rsidR="000D5FBA">
        <w:rPr>
          <w:rFonts w:ascii="Times New Roman" w:hAnsi="Times New Roman" w:cs="Times New Roman"/>
          <w:sz w:val="24"/>
          <w:szCs w:val="24"/>
        </w:rPr>
        <w:t>Like</w:t>
      </w:r>
      <w:r w:rsidR="004A2DB4">
        <w:rPr>
          <w:rFonts w:ascii="Times New Roman" w:hAnsi="Times New Roman" w:cs="Times New Roman"/>
          <w:sz w:val="24"/>
          <w:szCs w:val="24"/>
        </w:rPr>
        <w:t xml:space="preserve"> the Social Purity Movement, it was focused on ridding society of all those with no morality and to fight the spread of venereal diseases. Children were again the target of this information as there was angst over “the spiritual and moral well-being </w:t>
      </w:r>
      <w:r w:rsidR="00F044B7">
        <w:rPr>
          <w:rFonts w:ascii="Times New Roman" w:hAnsi="Times New Roman" w:cs="Times New Roman"/>
          <w:sz w:val="24"/>
          <w:szCs w:val="24"/>
        </w:rPr>
        <w:t>of young people”</w:t>
      </w:r>
      <w:r w:rsidR="00F044B7">
        <w:rPr>
          <w:rStyle w:val="FootnoteReference"/>
          <w:rFonts w:ascii="Times New Roman" w:hAnsi="Times New Roman" w:cs="Times New Roman"/>
          <w:sz w:val="24"/>
          <w:szCs w:val="24"/>
        </w:rPr>
        <w:footnoteReference w:id="5"/>
      </w:r>
      <w:r w:rsidR="00F044B7">
        <w:rPr>
          <w:rFonts w:ascii="Times New Roman" w:hAnsi="Times New Roman" w:cs="Times New Roman"/>
          <w:sz w:val="24"/>
          <w:szCs w:val="24"/>
        </w:rPr>
        <w:t>. During the Social Hygiene Movement the dangers of masturbation were medicalized</w:t>
      </w:r>
      <w:r w:rsidR="00F12A15">
        <w:rPr>
          <w:rFonts w:ascii="Times New Roman" w:hAnsi="Times New Roman" w:cs="Times New Roman"/>
          <w:sz w:val="24"/>
          <w:szCs w:val="24"/>
        </w:rPr>
        <w:t xml:space="preserve">, it was </w:t>
      </w:r>
      <w:r w:rsidR="00F044B7">
        <w:rPr>
          <w:rFonts w:ascii="Times New Roman" w:hAnsi="Times New Roman" w:cs="Times New Roman"/>
          <w:sz w:val="24"/>
          <w:szCs w:val="24"/>
        </w:rPr>
        <w:t>meant to instill fear and guilt in young boys to deter them from indulging ‘self pollution’</w:t>
      </w:r>
      <w:r w:rsidR="00F044B7">
        <w:rPr>
          <w:rStyle w:val="FootnoteReference"/>
          <w:rFonts w:ascii="Times New Roman" w:hAnsi="Times New Roman" w:cs="Times New Roman"/>
          <w:sz w:val="24"/>
          <w:szCs w:val="24"/>
        </w:rPr>
        <w:footnoteReference w:id="6"/>
      </w:r>
      <w:r w:rsidR="00F044B7">
        <w:rPr>
          <w:rFonts w:ascii="Times New Roman" w:hAnsi="Times New Roman" w:cs="Times New Roman"/>
          <w:sz w:val="24"/>
          <w:szCs w:val="24"/>
        </w:rPr>
        <w:t xml:space="preserve">. </w:t>
      </w:r>
      <w:r w:rsidR="006424B3">
        <w:rPr>
          <w:rFonts w:ascii="Times New Roman" w:hAnsi="Times New Roman" w:cs="Times New Roman"/>
          <w:sz w:val="24"/>
          <w:szCs w:val="24"/>
        </w:rPr>
        <w:t xml:space="preserve">The Social Hygiene </w:t>
      </w:r>
      <w:r w:rsidR="00456F71">
        <w:rPr>
          <w:rFonts w:ascii="Times New Roman" w:hAnsi="Times New Roman" w:cs="Times New Roman"/>
          <w:sz w:val="24"/>
          <w:szCs w:val="24"/>
        </w:rPr>
        <w:t>M</w:t>
      </w:r>
      <w:r w:rsidR="006424B3">
        <w:rPr>
          <w:rFonts w:ascii="Times New Roman" w:hAnsi="Times New Roman" w:cs="Times New Roman"/>
          <w:sz w:val="24"/>
          <w:szCs w:val="24"/>
        </w:rPr>
        <w:t>ovement</w:t>
      </w:r>
      <w:r w:rsidR="00955FD3">
        <w:rPr>
          <w:rFonts w:ascii="Times New Roman" w:hAnsi="Times New Roman" w:cs="Times New Roman"/>
          <w:sz w:val="24"/>
          <w:szCs w:val="24"/>
        </w:rPr>
        <w:t xml:space="preserve"> advocates believed that the use of science</w:t>
      </w:r>
      <w:r w:rsidR="0017187E">
        <w:rPr>
          <w:rFonts w:ascii="Times New Roman" w:hAnsi="Times New Roman" w:cs="Times New Roman"/>
          <w:sz w:val="24"/>
          <w:szCs w:val="24"/>
        </w:rPr>
        <w:t xml:space="preserve"> of plants and animals</w:t>
      </w:r>
      <w:r w:rsidR="00955FD3">
        <w:rPr>
          <w:rFonts w:ascii="Times New Roman" w:hAnsi="Times New Roman" w:cs="Times New Roman"/>
          <w:sz w:val="24"/>
          <w:szCs w:val="24"/>
        </w:rPr>
        <w:t xml:space="preserve"> to deliver the knowledge about reproduction would give children enough insight </w:t>
      </w:r>
      <w:r w:rsidR="0017187E">
        <w:rPr>
          <w:rFonts w:ascii="Times New Roman" w:hAnsi="Times New Roman" w:cs="Times New Roman"/>
          <w:sz w:val="24"/>
          <w:szCs w:val="24"/>
        </w:rPr>
        <w:t xml:space="preserve">to be able to apply it to themselves. </w:t>
      </w:r>
      <w:r w:rsidR="005D7204">
        <w:rPr>
          <w:rFonts w:ascii="Times New Roman" w:hAnsi="Times New Roman" w:cs="Times New Roman"/>
          <w:sz w:val="24"/>
          <w:szCs w:val="24"/>
        </w:rPr>
        <w:t xml:space="preserve">During this era adults </w:t>
      </w:r>
      <w:r w:rsidR="00501B56">
        <w:rPr>
          <w:rFonts w:ascii="Times New Roman" w:hAnsi="Times New Roman" w:cs="Times New Roman"/>
          <w:sz w:val="24"/>
          <w:szCs w:val="24"/>
        </w:rPr>
        <w:t xml:space="preserve">believed that children’s vulnerability </w:t>
      </w:r>
      <w:r w:rsidR="00023078">
        <w:rPr>
          <w:rFonts w:ascii="Times New Roman" w:hAnsi="Times New Roman" w:cs="Times New Roman"/>
          <w:sz w:val="24"/>
          <w:szCs w:val="24"/>
        </w:rPr>
        <w:t>must be protected through ignorance and fear</w:t>
      </w:r>
      <w:r w:rsidR="00023078">
        <w:rPr>
          <w:rStyle w:val="FootnoteReference"/>
          <w:rFonts w:ascii="Times New Roman" w:hAnsi="Times New Roman" w:cs="Times New Roman"/>
          <w:sz w:val="24"/>
          <w:szCs w:val="24"/>
        </w:rPr>
        <w:footnoteReference w:id="7"/>
      </w:r>
      <w:r w:rsidR="008F5D6F">
        <w:rPr>
          <w:rFonts w:ascii="Times New Roman" w:hAnsi="Times New Roman" w:cs="Times New Roman"/>
          <w:sz w:val="24"/>
          <w:szCs w:val="24"/>
        </w:rPr>
        <w:t>.</w:t>
      </w:r>
      <w:r w:rsidR="00334263">
        <w:rPr>
          <w:rFonts w:ascii="Times New Roman" w:hAnsi="Times New Roman" w:cs="Times New Roman"/>
          <w:sz w:val="24"/>
          <w:szCs w:val="24"/>
        </w:rPr>
        <w:t xml:space="preserve"> The Social Hygiene Movement carried on for a few decades, leading all the way up to 1937 when a reform was called upon. In Ontario </w:t>
      </w:r>
      <w:r w:rsidR="00A7488D">
        <w:rPr>
          <w:rFonts w:ascii="Times New Roman" w:hAnsi="Times New Roman" w:cs="Times New Roman"/>
          <w:sz w:val="24"/>
          <w:szCs w:val="24"/>
        </w:rPr>
        <w:t>during</w:t>
      </w:r>
      <w:r w:rsidR="007466ED">
        <w:rPr>
          <w:rFonts w:ascii="Times New Roman" w:hAnsi="Times New Roman" w:cs="Times New Roman"/>
          <w:sz w:val="24"/>
          <w:szCs w:val="24"/>
        </w:rPr>
        <w:t xml:space="preserve"> the year </w:t>
      </w:r>
      <w:r w:rsidR="00A7488D">
        <w:rPr>
          <w:rFonts w:ascii="Times New Roman" w:hAnsi="Times New Roman" w:cs="Times New Roman"/>
          <w:sz w:val="24"/>
          <w:szCs w:val="24"/>
        </w:rPr>
        <w:t xml:space="preserve">of </w:t>
      </w:r>
      <w:r w:rsidR="007466ED">
        <w:rPr>
          <w:rFonts w:ascii="Times New Roman" w:hAnsi="Times New Roman" w:cs="Times New Roman"/>
          <w:sz w:val="24"/>
          <w:szCs w:val="24"/>
        </w:rPr>
        <w:t>1937, the Department of Education required Christianity to be infused into curriculum</w:t>
      </w:r>
      <w:r w:rsidR="00F079DD">
        <w:rPr>
          <w:rFonts w:ascii="Times New Roman" w:hAnsi="Times New Roman" w:cs="Times New Roman"/>
          <w:sz w:val="24"/>
          <w:szCs w:val="24"/>
        </w:rPr>
        <w:t xml:space="preserve"> as there was a “moral decline</w:t>
      </w:r>
      <w:r w:rsidR="00DA123A">
        <w:rPr>
          <w:rFonts w:ascii="Times New Roman" w:hAnsi="Times New Roman" w:cs="Times New Roman"/>
          <w:sz w:val="24"/>
          <w:szCs w:val="24"/>
        </w:rPr>
        <w:t>” during World War II</w:t>
      </w:r>
      <w:r w:rsidR="00DB3DF8">
        <w:rPr>
          <w:rStyle w:val="FootnoteReference"/>
          <w:rFonts w:ascii="Times New Roman" w:hAnsi="Times New Roman" w:cs="Times New Roman"/>
          <w:sz w:val="24"/>
          <w:szCs w:val="24"/>
        </w:rPr>
        <w:footnoteReference w:id="8"/>
      </w:r>
      <w:r w:rsidR="003A3E88">
        <w:rPr>
          <w:rFonts w:ascii="Times New Roman" w:hAnsi="Times New Roman" w:cs="Times New Roman"/>
          <w:sz w:val="24"/>
          <w:szCs w:val="24"/>
        </w:rPr>
        <w:t>.</w:t>
      </w:r>
      <w:r w:rsidR="00DB3DF8">
        <w:rPr>
          <w:rFonts w:ascii="Times New Roman" w:hAnsi="Times New Roman" w:cs="Times New Roman"/>
          <w:sz w:val="24"/>
          <w:szCs w:val="24"/>
        </w:rPr>
        <w:t xml:space="preserve"> </w:t>
      </w:r>
      <w:r w:rsidR="004B6EEA">
        <w:rPr>
          <w:rFonts w:ascii="Times New Roman" w:hAnsi="Times New Roman" w:cs="Times New Roman"/>
          <w:sz w:val="24"/>
          <w:szCs w:val="24"/>
        </w:rPr>
        <w:t>Christian</w:t>
      </w:r>
      <w:r w:rsidR="00580133">
        <w:rPr>
          <w:rFonts w:ascii="Times New Roman" w:hAnsi="Times New Roman" w:cs="Times New Roman"/>
          <w:sz w:val="24"/>
          <w:szCs w:val="24"/>
        </w:rPr>
        <w:t>ity was seen commonly in instruction</w:t>
      </w:r>
      <w:r w:rsidR="00247C7D">
        <w:rPr>
          <w:rFonts w:ascii="Times New Roman" w:hAnsi="Times New Roman" w:cs="Times New Roman"/>
          <w:sz w:val="24"/>
          <w:szCs w:val="24"/>
        </w:rPr>
        <w:t xml:space="preserve">. 1950 was </w:t>
      </w:r>
      <w:r w:rsidR="00E95850">
        <w:rPr>
          <w:rFonts w:ascii="Times New Roman" w:hAnsi="Times New Roman" w:cs="Times New Roman"/>
          <w:sz w:val="24"/>
          <w:szCs w:val="24"/>
        </w:rPr>
        <w:t xml:space="preserve">the </w:t>
      </w:r>
      <w:r w:rsidR="00247C7D">
        <w:rPr>
          <w:rFonts w:ascii="Times New Roman" w:hAnsi="Times New Roman" w:cs="Times New Roman"/>
          <w:sz w:val="24"/>
          <w:szCs w:val="24"/>
        </w:rPr>
        <w:t xml:space="preserve">year </w:t>
      </w:r>
      <w:r w:rsidR="0051311A">
        <w:rPr>
          <w:rFonts w:ascii="Times New Roman" w:hAnsi="Times New Roman" w:cs="Times New Roman"/>
          <w:sz w:val="24"/>
          <w:szCs w:val="24"/>
        </w:rPr>
        <w:t>sex education was rebranded as Family Life Education; the school board</w:t>
      </w:r>
      <w:r w:rsidR="00EE60B7">
        <w:rPr>
          <w:rFonts w:ascii="Times New Roman" w:hAnsi="Times New Roman" w:cs="Times New Roman"/>
          <w:sz w:val="24"/>
          <w:szCs w:val="24"/>
        </w:rPr>
        <w:t xml:space="preserve"> proposed</w:t>
      </w:r>
      <w:r w:rsidR="000C382F">
        <w:rPr>
          <w:rFonts w:ascii="Times New Roman" w:hAnsi="Times New Roman" w:cs="Times New Roman"/>
          <w:sz w:val="24"/>
          <w:szCs w:val="24"/>
        </w:rPr>
        <w:t xml:space="preserve"> a revamp</w:t>
      </w:r>
      <w:r w:rsidR="0051311A">
        <w:rPr>
          <w:rFonts w:ascii="Times New Roman" w:hAnsi="Times New Roman" w:cs="Times New Roman"/>
          <w:sz w:val="24"/>
          <w:szCs w:val="24"/>
        </w:rPr>
        <w:t xml:space="preserve"> following World War II</w:t>
      </w:r>
      <w:r w:rsidR="00EE60B7">
        <w:rPr>
          <w:rFonts w:ascii="Times New Roman" w:hAnsi="Times New Roman" w:cs="Times New Roman"/>
          <w:sz w:val="24"/>
          <w:szCs w:val="24"/>
        </w:rPr>
        <w:t xml:space="preserve"> </w:t>
      </w:r>
      <w:r w:rsidR="005A1C78">
        <w:rPr>
          <w:rFonts w:ascii="Times New Roman" w:hAnsi="Times New Roman" w:cs="Times New Roman"/>
          <w:sz w:val="24"/>
          <w:szCs w:val="24"/>
        </w:rPr>
        <w:t xml:space="preserve">of the </w:t>
      </w:r>
      <w:r w:rsidR="00EE60B7">
        <w:rPr>
          <w:rFonts w:ascii="Times New Roman" w:hAnsi="Times New Roman" w:cs="Times New Roman"/>
          <w:sz w:val="24"/>
          <w:szCs w:val="24"/>
        </w:rPr>
        <w:t xml:space="preserve">health </w:t>
      </w:r>
      <w:r w:rsidR="0051311A">
        <w:rPr>
          <w:rFonts w:ascii="Times New Roman" w:hAnsi="Times New Roman" w:cs="Times New Roman"/>
          <w:sz w:val="24"/>
          <w:szCs w:val="24"/>
        </w:rPr>
        <w:t xml:space="preserve">curriculum to help aid in training and controlling </w:t>
      </w:r>
      <w:r w:rsidR="00DB01F1">
        <w:rPr>
          <w:rFonts w:ascii="Times New Roman" w:hAnsi="Times New Roman" w:cs="Times New Roman"/>
          <w:sz w:val="24"/>
          <w:szCs w:val="24"/>
        </w:rPr>
        <w:t>citizens after the chaos of war.</w:t>
      </w:r>
      <w:r w:rsidR="00E95850">
        <w:rPr>
          <w:rFonts w:ascii="Times New Roman" w:hAnsi="Times New Roman" w:cs="Times New Roman"/>
          <w:sz w:val="24"/>
          <w:szCs w:val="24"/>
        </w:rPr>
        <w:t xml:space="preserve"> The curriculum embodied Christian values and</w:t>
      </w:r>
      <w:r w:rsidR="00B072E5">
        <w:rPr>
          <w:rFonts w:ascii="Times New Roman" w:hAnsi="Times New Roman" w:cs="Times New Roman"/>
          <w:sz w:val="24"/>
          <w:szCs w:val="24"/>
        </w:rPr>
        <w:t xml:space="preserve"> idolized parenthood and marriage. It was meant to train children to put all their sexual energy towards a monogamou</w:t>
      </w:r>
      <w:r w:rsidR="00E32115">
        <w:rPr>
          <w:rFonts w:ascii="Times New Roman" w:hAnsi="Times New Roman" w:cs="Times New Roman"/>
          <w:sz w:val="24"/>
          <w:szCs w:val="24"/>
        </w:rPr>
        <w:t>s, family-focused marriage</w:t>
      </w:r>
      <w:r w:rsidR="00BC7BB9">
        <w:rPr>
          <w:rStyle w:val="FootnoteReference"/>
          <w:rFonts w:ascii="Times New Roman" w:hAnsi="Times New Roman" w:cs="Times New Roman"/>
          <w:sz w:val="24"/>
          <w:szCs w:val="24"/>
        </w:rPr>
        <w:footnoteReference w:id="9"/>
      </w:r>
      <w:r w:rsidR="00E32115">
        <w:rPr>
          <w:rFonts w:ascii="Times New Roman" w:hAnsi="Times New Roman" w:cs="Times New Roman"/>
          <w:sz w:val="24"/>
          <w:szCs w:val="24"/>
        </w:rPr>
        <w:t xml:space="preserve">. </w:t>
      </w:r>
      <w:r w:rsidR="00573111">
        <w:rPr>
          <w:rFonts w:ascii="Times New Roman" w:hAnsi="Times New Roman" w:cs="Times New Roman"/>
          <w:sz w:val="24"/>
          <w:szCs w:val="24"/>
        </w:rPr>
        <w:t xml:space="preserve">Sex education in Ontario </w:t>
      </w:r>
      <w:r w:rsidR="00E129FE">
        <w:rPr>
          <w:rFonts w:ascii="Times New Roman" w:hAnsi="Times New Roman" w:cs="Times New Roman"/>
          <w:sz w:val="24"/>
          <w:szCs w:val="24"/>
        </w:rPr>
        <w:t xml:space="preserve">over </w:t>
      </w:r>
      <w:r w:rsidR="00573111">
        <w:rPr>
          <w:rFonts w:ascii="Times New Roman" w:hAnsi="Times New Roman" w:cs="Times New Roman"/>
          <w:sz w:val="24"/>
          <w:szCs w:val="24"/>
        </w:rPr>
        <w:t>the next 50 years did progress</w:t>
      </w:r>
      <w:r w:rsidR="00E129FE">
        <w:rPr>
          <w:rFonts w:ascii="Times New Roman" w:hAnsi="Times New Roman" w:cs="Times New Roman"/>
          <w:sz w:val="24"/>
          <w:szCs w:val="24"/>
        </w:rPr>
        <w:t xml:space="preserve"> as science </w:t>
      </w:r>
      <w:r w:rsidR="006C787E">
        <w:rPr>
          <w:rFonts w:ascii="Times New Roman" w:hAnsi="Times New Roman" w:cs="Times New Roman"/>
          <w:sz w:val="24"/>
          <w:szCs w:val="24"/>
        </w:rPr>
        <w:t>advanc</w:t>
      </w:r>
      <w:r w:rsidR="00E129FE">
        <w:rPr>
          <w:rFonts w:ascii="Times New Roman" w:hAnsi="Times New Roman" w:cs="Times New Roman"/>
          <w:sz w:val="24"/>
          <w:szCs w:val="24"/>
        </w:rPr>
        <w:t xml:space="preserve">ed, but not </w:t>
      </w:r>
      <w:r w:rsidR="00F21322">
        <w:rPr>
          <w:rFonts w:ascii="Times New Roman" w:hAnsi="Times New Roman" w:cs="Times New Roman"/>
          <w:sz w:val="24"/>
          <w:szCs w:val="24"/>
        </w:rPr>
        <w:t xml:space="preserve">timely with children’s development. Religion influenced what information was deemed appropriate and </w:t>
      </w:r>
      <w:r w:rsidR="00F21322">
        <w:rPr>
          <w:rFonts w:ascii="Times New Roman" w:hAnsi="Times New Roman" w:cs="Times New Roman"/>
          <w:sz w:val="24"/>
          <w:szCs w:val="24"/>
        </w:rPr>
        <w:lastRenderedPageBreak/>
        <w:t xml:space="preserve">limited many students’ knowledge about their own bodies and future experiences. A lot of necessary information was either not delivered, or it was skewed to fit a religious ideal. </w:t>
      </w:r>
      <w:r w:rsidR="00241A76">
        <w:rPr>
          <w:rFonts w:ascii="Times New Roman" w:hAnsi="Times New Roman" w:cs="Times New Roman"/>
          <w:sz w:val="24"/>
          <w:szCs w:val="24"/>
        </w:rPr>
        <w:t>The</w:t>
      </w:r>
      <w:r w:rsidR="00423E69">
        <w:rPr>
          <w:rFonts w:ascii="Times New Roman" w:hAnsi="Times New Roman" w:cs="Times New Roman"/>
          <w:sz w:val="24"/>
          <w:szCs w:val="24"/>
        </w:rPr>
        <w:t xml:space="preserve"> </w:t>
      </w:r>
      <w:r w:rsidR="00241A76">
        <w:rPr>
          <w:rFonts w:ascii="Times New Roman" w:hAnsi="Times New Roman" w:cs="Times New Roman"/>
          <w:sz w:val="24"/>
          <w:szCs w:val="24"/>
        </w:rPr>
        <w:t xml:space="preserve">curriculum was either </w:t>
      </w:r>
      <w:r w:rsidR="00423E69">
        <w:rPr>
          <w:rFonts w:ascii="Times New Roman" w:hAnsi="Times New Roman" w:cs="Times New Roman"/>
          <w:sz w:val="24"/>
          <w:szCs w:val="24"/>
        </w:rPr>
        <w:t>taught from a moral or scientific perspective</w:t>
      </w:r>
      <w:r w:rsidR="00376F92">
        <w:rPr>
          <w:rFonts w:ascii="Times New Roman" w:hAnsi="Times New Roman" w:cs="Times New Roman"/>
          <w:sz w:val="24"/>
          <w:szCs w:val="24"/>
        </w:rPr>
        <w:t xml:space="preserve"> </w:t>
      </w:r>
      <w:r w:rsidR="00743ACA">
        <w:rPr>
          <w:rFonts w:ascii="Times New Roman" w:hAnsi="Times New Roman" w:cs="Times New Roman"/>
          <w:sz w:val="24"/>
          <w:szCs w:val="24"/>
        </w:rPr>
        <w:t xml:space="preserve">or </w:t>
      </w:r>
      <w:r w:rsidR="00376F92">
        <w:rPr>
          <w:rFonts w:ascii="Times New Roman" w:hAnsi="Times New Roman" w:cs="Times New Roman"/>
          <w:sz w:val="24"/>
          <w:szCs w:val="24"/>
        </w:rPr>
        <w:t xml:space="preserve">used science </w:t>
      </w:r>
      <w:r w:rsidR="00E55817">
        <w:rPr>
          <w:rFonts w:ascii="Times New Roman" w:hAnsi="Times New Roman" w:cs="Times New Roman"/>
          <w:sz w:val="24"/>
          <w:szCs w:val="24"/>
        </w:rPr>
        <w:t>with traditional values as the core</w:t>
      </w:r>
      <w:r w:rsidR="009D2926">
        <w:rPr>
          <w:rFonts w:ascii="Times New Roman" w:hAnsi="Times New Roman" w:cs="Times New Roman"/>
          <w:sz w:val="24"/>
          <w:szCs w:val="24"/>
        </w:rPr>
        <w:t xml:space="preserve">. </w:t>
      </w:r>
      <w:r w:rsidR="00423E69">
        <w:rPr>
          <w:rFonts w:ascii="Times New Roman" w:hAnsi="Times New Roman" w:cs="Times New Roman"/>
          <w:sz w:val="24"/>
          <w:szCs w:val="24"/>
        </w:rPr>
        <w:t xml:space="preserve"> </w:t>
      </w:r>
      <w:r w:rsidR="00C90C68">
        <w:rPr>
          <w:rFonts w:ascii="Times New Roman" w:hAnsi="Times New Roman" w:cs="Times New Roman"/>
          <w:sz w:val="24"/>
          <w:szCs w:val="24"/>
        </w:rPr>
        <w:t>T</w:t>
      </w:r>
      <w:r w:rsidR="00701A0D">
        <w:rPr>
          <w:rFonts w:ascii="Times New Roman" w:hAnsi="Times New Roman" w:cs="Times New Roman"/>
          <w:sz w:val="24"/>
          <w:szCs w:val="24"/>
        </w:rPr>
        <w:t>here</w:t>
      </w:r>
      <w:r w:rsidR="001942C2">
        <w:rPr>
          <w:rFonts w:ascii="Times New Roman" w:hAnsi="Times New Roman" w:cs="Times New Roman"/>
          <w:sz w:val="24"/>
          <w:szCs w:val="24"/>
        </w:rPr>
        <w:t xml:space="preserve"> were</w:t>
      </w:r>
      <w:r w:rsidR="00701A0D">
        <w:rPr>
          <w:rFonts w:ascii="Times New Roman" w:hAnsi="Times New Roman" w:cs="Times New Roman"/>
          <w:sz w:val="24"/>
          <w:szCs w:val="24"/>
        </w:rPr>
        <w:t xml:space="preserve"> guidelines and policies dictating what topics were appropriate to teach, </w:t>
      </w:r>
      <w:r w:rsidR="007A7A80">
        <w:rPr>
          <w:rFonts w:ascii="Times New Roman" w:hAnsi="Times New Roman" w:cs="Times New Roman"/>
          <w:sz w:val="24"/>
          <w:szCs w:val="24"/>
        </w:rPr>
        <w:t>and much reliance was put on parents to teach their children</w:t>
      </w:r>
      <w:r w:rsidR="00257405">
        <w:rPr>
          <w:rFonts w:ascii="Times New Roman" w:hAnsi="Times New Roman" w:cs="Times New Roman"/>
          <w:sz w:val="24"/>
          <w:szCs w:val="24"/>
        </w:rPr>
        <w:t xml:space="preserve"> values and convey information about</w:t>
      </w:r>
      <w:r w:rsidR="00F96094">
        <w:rPr>
          <w:rFonts w:ascii="Times New Roman" w:hAnsi="Times New Roman" w:cs="Times New Roman"/>
          <w:sz w:val="24"/>
          <w:szCs w:val="24"/>
        </w:rPr>
        <w:t xml:space="preserve"> sex as they felt it was their right. </w:t>
      </w:r>
    </w:p>
    <w:p w14:paraId="25279D69" w14:textId="635C3D6E" w:rsidR="00B14F61" w:rsidRDefault="00C92337" w:rsidP="00B570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has always been much debate on what approach was the right one when it came to teaching health education.</w:t>
      </w:r>
      <w:r w:rsidR="00EE74F5">
        <w:rPr>
          <w:rFonts w:ascii="Times New Roman" w:hAnsi="Times New Roman" w:cs="Times New Roman"/>
          <w:sz w:val="24"/>
          <w:szCs w:val="24"/>
        </w:rPr>
        <w:t xml:space="preserve"> Due to much debate between parents and the school board about who should be the one to educate</w:t>
      </w:r>
      <w:r w:rsidR="005C77B0">
        <w:rPr>
          <w:rFonts w:ascii="Times New Roman" w:hAnsi="Times New Roman" w:cs="Times New Roman"/>
          <w:sz w:val="24"/>
          <w:szCs w:val="24"/>
        </w:rPr>
        <w:t xml:space="preserve"> </w:t>
      </w:r>
      <w:r w:rsidR="00EE74F5">
        <w:rPr>
          <w:rFonts w:ascii="Times New Roman" w:hAnsi="Times New Roman" w:cs="Times New Roman"/>
          <w:sz w:val="24"/>
          <w:szCs w:val="24"/>
        </w:rPr>
        <w:t>the children</w:t>
      </w:r>
      <w:r w:rsidR="009306A5">
        <w:rPr>
          <w:rFonts w:ascii="Times New Roman" w:hAnsi="Times New Roman" w:cs="Times New Roman"/>
          <w:sz w:val="24"/>
          <w:szCs w:val="24"/>
        </w:rPr>
        <w:t xml:space="preserve"> and how it should be presented, sex education </w:t>
      </w:r>
      <w:r w:rsidR="00DA5699">
        <w:rPr>
          <w:rFonts w:ascii="Times New Roman" w:hAnsi="Times New Roman" w:cs="Times New Roman"/>
          <w:sz w:val="24"/>
          <w:szCs w:val="24"/>
        </w:rPr>
        <w:t xml:space="preserve">was informal up until the 1960’s when guidelines were </w:t>
      </w:r>
      <w:r w:rsidR="00A763EC">
        <w:rPr>
          <w:rFonts w:ascii="Times New Roman" w:hAnsi="Times New Roman" w:cs="Times New Roman"/>
          <w:sz w:val="24"/>
          <w:szCs w:val="24"/>
        </w:rPr>
        <w:t xml:space="preserve">created. Eventually it was agreed that there should be sexual health </w:t>
      </w:r>
      <w:r w:rsidR="006B131E">
        <w:rPr>
          <w:rFonts w:ascii="Times New Roman" w:hAnsi="Times New Roman" w:cs="Times New Roman"/>
          <w:sz w:val="24"/>
          <w:szCs w:val="24"/>
        </w:rPr>
        <w:t>ed</w:t>
      </w:r>
      <w:r w:rsidR="00D05A55">
        <w:rPr>
          <w:rFonts w:ascii="Times New Roman" w:hAnsi="Times New Roman" w:cs="Times New Roman"/>
          <w:sz w:val="24"/>
          <w:szCs w:val="24"/>
        </w:rPr>
        <w:t>uc</w:t>
      </w:r>
      <w:r w:rsidR="006B131E">
        <w:rPr>
          <w:rFonts w:ascii="Times New Roman" w:hAnsi="Times New Roman" w:cs="Times New Roman"/>
          <w:sz w:val="24"/>
          <w:szCs w:val="24"/>
        </w:rPr>
        <w:t>ation</w:t>
      </w:r>
      <w:r w:rsidR="00A763EC">
        <w:rPr>
          <w:rFonts w:ascii="Times New Roman" w:hAnsi="Times New Roman" w:cs="Times New Roman"/>
          <w:sz w:val="24"/>
          <w:szCs w:val="24"/>
        </w:rPr>
        <w:t xml:space="preserve"> of some sort</w:t>
      </w:r>
      <w:r w:rsidR="002C5EC8">
        <w:rPr>
          <w:rFonts w:ascii="Times New Roman" w:hAnsi="Times New Roman" w:cs="Times New Roman"/>
          <w:sz w:val="24"/>
          <w:szCs w:val="24"/>
        </w:rPr>
        <w:t xml:space="preserve"> implemented</w:t>
      </w:r>
      <w:r w:rsidR="00D05A55">
        <w:rPr>
          <w:rFonts w:ascii="Times New Roman" w:hAnsi="Times New Roman" w:cs="Times New Roman"/>
          <w:sz w:val="24"/>
          <w:szCs w:val="24"/>
        </w:rPr>
        <w:t xml:space="preserve">; </w:t>
      </w:r>
      <w:r w:rsidR="00873919">
        <w:rPr>
          <w:rFonts w:ascii="Times New Roman" w:hAnsi="Times New Roman" w:cs="Times New Roman"/>
          <w:sz w:val="24"/>
          <w:szCs w:val="24"/>
        </w:rPr>
        <w:t xml:space="preserve">there was and still is much scrutiny </w:t>
      </w:r>
      <w:r w:rsidR="0071333F">
        <w:rPr>
          <w:rFonts w:ascii="Times New Roman" w:hAnsi="Times New Roman" w:cs="Times New Roman"/>
          <w:sz w:val="24"/>
          <w:szCs w:val="24"/>
        </w:rPr>
        <w:t>from the parents towards the school board</w:t>
      </w:r>
      <w:r w:rsidR="00821C92">
        <w:rPr>
          <w:rFonts w:ascii="Times New Roman" w:hAnsi="Times New Roman" w:cs="Times New Roman"/>
          <w:sz w:val="24"/>
          <w:szCs w:val="24"/>
        </w:rPr>
        <w:t xml:space="preserve"> about what should be taught</w:t>
      </w:r>
      <w:r w:rsidR="002C5EC8">
        <w:rPr>
          <w:rFonts w:ascii="Times New Roman" w:hAnsi="Times New Roman" w:cs="Times New Roman"/>
          <w:sz w:val="24"/>
          <w:szCs w:val="24"/>
        </w:rPr>
        <w:t xml:space="preserve"> and how to instill the right values in children</w:t>
      </w:r>
      <w:r w:rsidR="00C676C3">
        <w:rPr>
          <w:rStyle w:val="FootnoteReference"/>
          <w:rFonts w:ascii="Times New Roman" w:hAnsi="Times New Roman" w:cs="Times New Roman"/>
          <w:sz w:val="24"/>
          <w:szCs w:val="24"/>
        </w:rPr>
        <w:footnoteReference w:id="10"/>
      </w:r>
      <w:r w:rsidR="00821C92">
        <w:rPr>
          <w:rFonts w:ascii="Times New Roman" w:hAnsi="Times New Roman" w:cs="Times New Roman"/>
          <w:sz w:val="24"/>
          <w:szCs w:val="24"/>
        </w:rPr>
        <w:t xml:space="preserve">. </w:t>
      </w:r>
      <w:r w:rsidR="00D005EF">
        <w:rPr>
          <w:rFonts w:ascii="Times New Roman" w:hAnsi="Times New Roman" w:cs="Times New Roman"/>
          <w:sz w:val="24"/>
          <w:szCs w:val="24"/>
        </w:rPr>
        <w:t xml:space="preserve">The </w:t>
      </w:r>
      <w:r w:rsidR="00C4678F">
        <w:rPr>
          <w:rFonts w:ascii="Times New Roman" w:hAnsi="Times New Roman" w:cs="Times New Roman"/>
          <w:sz w:val="24"/>
          <w:szCs w:val="24"/>
        </w:rPr>
        <w:t>school board h</w:t>
      </w:r>
      <w:r w:rsidR="007E290E">
        <w:rPr>
          <w:rFonts w:ascii="Times New Roman" w:hAnsi="Times New Roman" w:cs="Times New Roman"/>
          <w:sz w:val="24"/>
          <w:szCs w:val="24"/>
        </w:rPr>
        <w:t xml:space="preserve">ad to create a curriculum that would cover what topics were thought to be necessary while emulating the values </w:t>
      </w:r>
      <w:r w:rsidR="00A87235">
        <w:rPr>
          <w:rFonts w:ascii="Times New Roman" w:hAnsi="Times New Roman" w:cs="Times New Roman"/>
          <w:sz w:val="24"/>
          <w:szCs w:val="24"/>
        </w:rPr>
        <w:t xml:space="preserve">from society throughout the years. </w:t>
      </w:r>
      <w:r w:rsidR="00413EC7">
        <w:rPr>
          <w:rFonts w:ascii="Times New Roman" w:hAnsi="Times New Roman" w:cs="Times New Roman"/>
          <w:sz w:val="24"/>
          <w:szCs w:val="24"/>
        </w:rPr>
        <w:t xml:space="preserve">The 1960’s and 1970’s were the years </w:t>
      </w:r>
      <w:r w:rsidR="00121B27">
        <w:rPr>
          <w:rFonts w:ascii="Times New Roman" w:hAnsi="Times New Roman" w:cs="Times New Roman"/>
          <w:sz w:val="24"/>
          <w:szCs w:val="24"/>
        </w:rPr>
        <w:t xml:space="preserve">of the </w:t>
      </w:r>
      <w:r w:rsidR="00413EC7">
        <w:rPr>
          <w:rFonts w:ascii="Times New Roman" w:hAnsi="Times New Roman" w:cs="Times New Roman"/>
          <w:sz w:val="24"/>
          <w:szCs w:val="24"/>
        </w:rPr>
        <w:t>“sexual revolution”</w:t>
      </w:r>
      <w:r w:rsidR="00E87161">
        <w:rPr>
          <w:rFonts w:ascii="Times New Roman" w:hAnsi="Times New Roman" w:cs="Times New Roman"/>
          <w:sz w:val="24"/>
          <w:szCs w:val="24"/>
        </w:rPr>
        <w:t xml:space="preserve"> due to the legalization of birth control which</w:t>
      </w:r>
      <w:r w:rsidR="00426D03">
        <w:rPr>
          <w:rFonts w:ascii="Times New Roman" w:hAnsi="Times New Roman" w:cs="Times New Roman"/>
          <w:sz w:val="24"/>
          <w:szCs w:val="24"/>
        </w:rPr>
        <w:t xml:space="preserve"> </w:t>
      </w:r>
      <w:r w:rsidR="000D6CF8">
        <w:rPr>
          <w:rFonts w:ascii="Times New Roman" w:hAnsi="Times New Roman" w:cs="Times New Roman"/>
          <w:sz w:val="24"/>
          <w:szCs w:val="24"/>
        </w:rPr>
        <w:t>was believed to</w:t>
      </w:r>
      <w:r w:rsidR="00E87161">
        <w:rPr>
          <w:rFonts w:ascii="Times New Roman" w:hAnsi="Times New Roman" w:cs="Times New Roman"/>
          <w:sz w:val="24"/>
          <w:szCs w:val="24"/>
        </w:rPr>
        <w:t xml:space="preserve"> promote</w:t>
      </w:r>
      <w:r w:rsidR="00426D03">
        <w:rPr>
          <w:rFonts w:ascii="Times New Roman" w:hAnsi="Times New Roman" w:cs="Times New Roman"/>
          <w:sz w:val="24"/>
          <w:szCs w:val="24"/>
        </w:rPr>
        <w:t xml:space="preserve"> </w:t>
      </w:r>
      <w:r w:rsidR="005734FC">
        <w:rPr>
          <w:rFonts w:ascii="Times New Roman" w:hAnsi="Times New Roman" w:cs="Times New Roman"/>
          <w:sz w:val="24"/>
          <w:szCs w:val="24"/>
        </w:rPr>
        <w:t xml:space="preserve">“youths to engage in sexually </w:t>
      </w:r>
      <w:r w:rsidR="00E87161">
        <w:rPr>
          <w:rFonts w:ascii="Times New Roman" w:hAnsi="Times New Roman" w:cs="Times New Roman"/>
          <w:sz w:val="24"/>
          <w:szCs w:val="24"/>
        </w:rPr>
        <w:t>promiscuous behaviou</w:t>
      </w:r>
      <w:r w:rsidR="005734FC">
        <w:rPr>
          <w:rFonts w:ascii="Times New Roman" w:hAnsi="Times New Roman" w:cs="Times New Roman"/>
          <w:sz w:val="24"/>
          <w:szCs w:val="24"/>
        </w:rPr>
        <w:t>r”</w:t>
      </w:r>
      <w:r w:rsidR="003D5469">
        <w:rPr>
          <w:rStyle w:val="FootnoteReference"/>
          <w:rFonts w:ascii="Times New Roman" w:hAnsi="Times New Roman" w:cs="Times New Roman"/>
          <w:sz w:val="24"/>
          <w:szCs w:val="24"/>
        </w:rPr>
        <w:footnoteReference w:id="11"/>
      </w:r>
      <w:r w:rsidR="001729A8">
        <w:rPr>
          <w:rFonts w:ascii="Times New Roman" w:hAnsi="Times New Roman" w:cs="Times New Roman"/>
          <w:sz w:val="24"/>
          <w:szCs w:val="24"/>
        </w:rPr>
        <w:t xml:space="preserve">. </w:t>
      </w:r>
      <w:r w:rsidR="009D7A6A">
        <w:rPr>
          <w:rFonts w:ascii="Times New Roman" w:hAnsi="Times New Roman" w:cs="Times New Roman"/>
          <w:sz w:val="24"/>
          <w:szCs w:val="24"/>
        </w:rPr>
        <w:t xml:space="preserve">In response to that educators, parents, </w:t>
      </w:r>
      <w:r w:rsidR="00CE3C70">
        <w:rPr>
          <w:rFonts w:ascii="Times New Roman" w:hAnsi="Times New Roman" w:cs="Times New Roman"/>
          <w:sz w:val="24"/>
          <w:szCs w:val="24"/>
        </w:rPr>
        <w:t>and social experts</w:t>
      </w:r>
      <w:r w:rsidR="004F62F6">
        <w:rPr>
          <w:rFonts w:ascii="Times New Roman" w:hAnsi="Times New Roman" w:cs="Times New Roman"/>
          <w:sz w:val="24"/>
          <w:szCs w:val="24"/>
        </w:rPr>
        <w:t xml:space="preserve"> wanted to enforce </w:t>
      </w:r>
      <w:r w:rsidR="004F62F6" w:rsidRPr="00015992">
        <w:rPr>
          <w:rFonts w:ascii="Times New Roman" w:hAnsi="Times New Roman" w:cs="Times New Roman"/>
          <w:sz w:val="24"/>
          <w:szCs w:val="24"/>
        </w:rPr>
        <w:t>tradition</w:t>
      </w:r>
      <w:r w:rsidR="00015992">
        <w:rPr>
          <w:rFonts w:ascii="Times New Roman" w:hAnsi="Times New Roman" w:cs="Times New Roman"/>
          <w:sz w:val="24"/>
          <w:szCs w:val="24"/>
        </w:rPr>
        <w:t>al</w:t>
      </w:r>
      <w:r w:rsidR="004F62F6">
        <w:rPr>
          <w:rFonts w:ascii="Times New Roman" w:hAnsi="Times New Roman" w:cs="Times New Roman"/>
          <w:sz w:val="24"/>
          <w:szCs w:val="24"/>
        </w:rPr>
        <w:t xml:space="preserve"> values such as heterosexuality and </w:t>
      </w:r>
      <w:r w:rsidR="00C37CF7">
        <w:rPr>
          <w:rFonts w:ascii="Times New Roman" w:hAnsi="Times New Roman" w:cs="Times New Roman"/>
          <w:sz w:val="24"/>
          <w:szCs w:val="24"/>
        </w:rPr>
        <w:t xml:space="preserve">chastity before marriage. </w:t>
      </w:r>
      <w:r w:rsidR="00CD7D9A">
        <w:rPr>
          <w:rFonts w:ascii="Times New Roman" w:hAnsi="Times New Roman" w:cs="Times New Roman"/>
          <w:sz w:val="24"/>
          <w:szCs w:val="24"/>
        </w:rPr>
        <w:t xml:space="preserve">Throughout much of the 1960’s and 1970’s the </w:t>
      </w:r>
      <w:r w:rsidR="00A7358D">
        <w:rPr>
          <w:rFonts w:ascii="Times New Roman" w:hAnsi="Times New Roman" w:cs="Times New Roman"/>
          <w:sz w:val="24"/>
          <w:szCs w:val="24"/>
        </w:rPr>
        <w:t>“</w:t>
      </w:r>
      <w:r w:rsidR="00CD7D9A">
        <w:rPr>
          <w:rFonts w:ascii="Times New Roman" w:hAnsi="Times New Roman" w:cs="Times New Roman"/>
          <w:sz w:val="24"/>
          <w:szCs w:val="24"/>
        </w:rPr>
        <w:t>Physical and Health Education</w:t>
      </w:r>
      <w:r w:rsidR="00A7358D">
        <w:rPr>
          <w:rFonts w:ascii="Times New Roman" w:hAnsi="Times New Roman" w:cs="Times New Roman"/>
          <w:sz w:val="24"/>
          <w:szCs w:val="24"/>
        </w:rPr>
        <w:t>” (PHE)</w:t>
      </w:r>
      <w:r w:rsidR="00CD7D9A">
        <w:rPr>
          <w:rFonts w:ascii="Times New Roman" w:hAnsi="Times New Roman" w:cs="Times New Roman"/>
          <w:sz w:val="24"/>
          <w:szCs w:val="24"/>
        </w:rPr>
        <w:t xml:space="preserve"> </w:t>
      </w:r>
      <w:r w:rsidR="00E7395A">
        <w:rPr>
          <w:rFonts w:ascii="Times New Roman" w:hAnsi="Times New Roman" w:cs="Times New Roman"/>
          <w:sz w:val="24"/>
          <w:szCs w:val="24"/>
        </w:rPr>
        <w:t xml:space="preserve">were </w:t>
      </w:r>
      <w:r w:rsidR="00CD7D9A">
        <w:rPr>
          <w:rFonts w:ascii="Times New Roman" w:hAnsi="Times New Roman" w:cs="Times New Roman"/>
          <w:sz w:val="24"/>
          <w:szCs w:val="24"/>
        </w:rPr>
        <w:t>incorporated into the senior grades</w:t>
      </w:r>
      <w:r w:rsidR="00E7395A">
        <w:rPr>
          <w:rFonts w:ascii="Times New Roman" w:hAnsi="Times New Roman" w:cs="Times New Roman"/>
          <w:sz w:val="24"/>
          <w:szCs w:val="24"/>
        </w:rPr>
        <w:t xml:space="preserve"> </w:t>
      </w:r>
      <w:r w:rsidR="008633C3">
        <w:rPr>
          <w:rFonts w:ascii="Times New Roman" w:hAnsi="Times New Roman" w:cs="Times New Roman"/>
          <w:sz w:val="24"/>
          <w:szCs w:val="24"/>
        </w:rPr>
        <w:t>during other classes such as biology</w:t>
      </w:r>
      <w:r w:rsidR="00B230A9">
        <w:rPr>
          <w:rFonts w:ascii="Times New Roman" w:hAnsi="Times New Roman" w:cs="Times New Roman"/>
          <w:sz w:val="24"/>
          <w:szCs w:val="24"/>
        </w:rPr>
        <w:t>.</w:t>
      </w:r>
      <w:r w:rsidR="00C91DF5">
        <w:rPr>
          <w:rFonts w:ascii="Times New Roman" w:hAnsi="Times New Roman" w:cs="Times New Roman"/>
          <w:sz w:val="24"/>
          <w:szCs w:val="24"/>
        </w:rPr>
        <w:t xml:space="preserve"> Guidelines were created by the government</w:t>
      </w:r>
      <w:r w:rsidR="00B15DF0">
        <w:rPr>
          <w:rFonts w:ascii="Times New Roman" w:hAnsi="Times New Roman" w:cs="Times New Roman"/>
          <w:sz w:val="24"/>
          <w:szCs w:val="24"/>
        </w:rPr>
        <w:t>,</w:t>
      </w:r>
      <w:r w:rsidR="00C91DF5">
        <w:rPr>
          <w:rFonts w:ascii="Times New Roman" w:hAnsi="Times New Roman" w:cs="Times New Roman"/>
          <w:sz w:val="24"/>
          <w:szCs w:val="24"/>
        </w:rPr>
        <w:t xml:space="preserve"> but it </w:t>
      </w:r>
      <w:r w:rsidR="006363EF">
        <w:rPr>
          <w:rFonts w:ascii="Times New Roman" w:hAnsi="Times New Roman" w:cs="Times New Roman"/>
          <w:sz w:val="24"/>
          <w:szCs w:val="24"/>
        </w:rPr>
        <w:t xml:space="preserve">was </w:t>
      </w:r>
      <w:r w:rsidR="00C91DF5">
        <w:rPr>
          <w:rFonts w:ascii="Times New Roman" w:hAnsi="Times New Roman" w:cs="Times New Roman"/>
          <w:sz w:val="24"/>
          <w:szCs w:val="24"/>
        </w:rPr>
        <w:t xml:space="preserve">up to local school </w:t>
      </w:r>
      <w:r w:rsidR="002C0324">
        <w:rPr>
          <w:rFonts w:ascii="Times New Roman" w:hAnsi="Times New Roman" w:cs="Times New Roman"/>
          <w:sz w:val="24"/>
          <w:szCs w:val="24"/>
        </w:rPr>
        <w:t xml:space="preserve">boards </w:t>
      </w:r>
      <w:r w:rsidR="00E92CEC">
        <w:rPr>
          <w:rFonts w:ascii="Times New Roman" w:hAnsi="Times New Roman" w:cs="Times New Roman"/>
          <w:sz w:val="24"/>
          <w:szCs w:val="24"/>
        </w:rPr>
        <w:t>whether</w:t>
      </w:r>
      <w:r w:rsidR="00C91DF5">
        <w:rPr>
          <w:rFonts w:ascii="Times New Roman" w:hAnsi="Times New Roman" w:cs="Times New Roman"/>
          <w:sz w:val="24"/>
          <w:szCs w:val="24"/>
        </w:rPr>
        <w:t xml:space="preserve"> they wanted incorporate that curriculum into classes</w:t>
      </w:r>
      <w:r w:rsidR="00E92CEC">
        <w:rPr>
          <w:rFonts w:ascii="Times New Roman" w:hAnsi="Times New Roman" w:cs="Times New Roman"/>
          <w:sz w:val="24"/>
          <w:szCs w:val="24"/>
        </w:rPr>
        <w:t xml:space="preserve"> or </w:t>
      </w:r>
      <w:r w:rsidR="00E92CEC">
        <w:rPr>
          <w:rFonts w:ascii="Times New Roman" w:hAnsi="Times New Roman" w:cs="Times New Roman"/>
          <w:sz w:val="24"/>
          <w:szCs w:val="24"/>
        </w:rPr>
        <w:lastRenderedPageBreak/>
        <w:t>not</w:t>
      </w:r>
      <w:r w:rsidR="007438F5">
        <w:rPr>
          <w:rStyle w:val="FootnoteReference"/>
          <w:rFonts w:ascii="Times New Roman" w:hAnsi="Times New Roman" w:cs="Times New Roman"/>
          <w:sz w:val="24"/>
          <w:szCs w:val="24"/>
        </w:rPr>
        <w:footnoteReference w:id="12"/>
      </w:r>
      <w:r w:rsidR="00C91DF5">
        <w:rPr>
          <w:rFonts w:ascii="Times New Roman" w:hAnsi="Times New Roman" w:cs="Times New Roman"/>
          <w:sz w:val="24"/>
          <w:szCs w:val="24"/>
        </w:rPr>
        <w:t>.</w:t>
      </w:r>
      <w:r w:rsidR="008945F8">
        <w:rPr>
          <w:rFonts w:ascii="Times New Roman" w:hAnsi="Times New Roman" w:cs="Times New Roman"/>
          <w:sz w:val="24"/>
          <w:szCs w:val="24"/>
        </w:rPr>
        <w:t xml:space="preserve"> The </w:t>
      </w:r>
      <w:r w:rsidR="009A274E">
        <w:rPr>
          <w:rFonts w:ascii="Times New Roman" w:hAnsi="Times New Roman" w:cs="Times New Roman"/>
          <w:sz w:val="24"/>
          <w:szCs w:val="24"/>
        </w:rPr>
        <w:t>P</w:t>
      </w:r>
      <w:r w:rsidR="008633C3">
        <w:rPr>
          <w:rFonts w:ascii="Times New Roman" w:hAnsi="Times New Roman" w:cs="Times New Roman"/>
          <w:sz w:val="24"/>
          <w:szCs w:val="24"/>
        </w:rPr>
        <w:t>HE</w:t>
      </w:r>
      <w:r w:rsidR="009A274E">
        <w:rPr>
          <w:rFonts w:ascii="Times New Roman" w:hAnsi="Times New Roman" w:cs="Times New Roman"/>
          <w:sz w:val="24"/>
          <w:szCs w:val="24"/>
        </w:rPr>
        <w:t xml:space="preserve"> curriculum </w:t>
      </w:r>
      <w:r w:rsidR="00780396">
        <w:rPr>
          <w:rFonts w:ascii="Times New Roman" w:hAnsi="Times New Roman" w:cs="Times New Roman"/>
          <w:sz w:val="24"/>
          <w:szCs w:val="24"/>
        </w:rPr>
        <w:t>of 1966 shows</w:t>
      </w:r>
      <w:r w:rsidR="00F3024E">
        <w:rPr>
          <w:rFonts w:ascii="Times New Roman" w:hAnsi="Times New Roman" w:cs="Times New Roman"/>
          <w:sz w:val="24"/>
          <w:szCs w:val="24"/>
        </w:rPr>
        <w:t xml:space="preserve"> how health </w:t>
      </w:r>
      <w:r w:rsidR="00AC3B1B">
        <w:rPr>
          <w:rFonts w:ascii="Times New Roman" w:hAnsi="Times New Roman" w:cs="Times New Roman"/>
          <w:sz w:val="24"/>
          <w:szCs w:val="24"/>
        </w:rPr>
        <w:t xml:space="preserve">topics such as reproduction were presented in a scientific manner utilizing </w:t>
      </w:r>
      <w:r w:rsidR="007F2092">
        <w:rPr>
          <w:rFonts w:ascii="Times New Roman" w:hAnsi="Times New Roman" w:cs="Times New Roman"/>
          <w:sz w:val="24"/>
          <w:szCs w:val="24"/>
        </w:rPr>
        <w:t xml:space="preserve">mammals and </w:t>
      </w:r>
      <w:r w:rsidR="00A834C5">
        <w:rPr>
          <w:rFonts w:ascii="Times New Roman" w:hAnsi="Times New Roman" w:cs="Times New Roman"/>
          <w:sz w:val="24"/>
          <w:szCs w:val="24"/>
        </w:rPr>
        <w:t>plants. This curriculum also states “the differences between families of animals and humans [is] marriage and the family</w:t>
      </w:r>
      <w:r w:rsidR="002E6D68">
        <w:rPr>
          <w:rFonts w:ascii="Times New Roman" w:hAnsi="Times New Roman" w:cs="Times New Roman"/>
          <w:sz w:val="24"/>
          <w:szCs w:val="24"/>
        </w:rPr>
        <w:t xml:space="preserve"> </w:t>
      </w:r>
      <w:r w:rsidR="002D3409">
        <w:rPr>
          <w:rFonts w:ascii="Times New Roman" w:hAnsi="Times New Roman" w:cs="Times New Roman"/>
          <w:sz w:val="24"/>
          <w:szCs w:val="24"/>
        </w:rPr>
        <w:t>unit as the central core of our society”</w:t>
      </w:r>
      <w:r w:rsidR="002D3409">
        <w:rPr>
          <w:rStyle w:val="FootnoteReference"/>
          <w:rFonts w:ascii="Times New Roman" w:hAnsi="Times New Roman" w:cs="Times New Roman"/>
          <w:sz w:val="24"/>
          <w:szCs w:val="24"/>
        </w:rPr>
        <w:footnoteReference w:id="13"/>
      </w:r>
      <w:r w:rsidR="001A74F7">
        <w:rPr>
          <w:rFonts w:ascii="Times New Roman" w:hAnsi="Times New Roman" w:cs="Times New Roman"/>
          <w:sz w:val="24"/>
          <w:szCs w:val="24"/>
        </w:rPr>
        <w:t xml:space="preserve">. </w:t>
      </w:r>
      <w:r w:rsidR="00EF343B">
        <w:rPr>
          <w:rFonts w:ascii="Times New Roman" w:hAnsi="Times New Roman" w:cs="Times New Roman"/>
          <w:sz w:val="24"/>
          <w:szCs w:val="24"/>
        </w:rPr>
        <w:t>It</w:t>
      </w:r>
      <w:r w:rsidR="00F6132A">
        <w:rPr>
          <w:rFonts w:ascii="Times New Roman" w:hAnsi="Times New Roman" w:cs="Times New Roman"/>
          <w:sz w:val="24"/>
          <w:szCs w:val="24"/>
        </w:rPr>
        <w:t xml:space="preserve"> i</w:t>
      </w:r>
      <w:r w:rsidR="00EF343B">
        <w:rPr>
          <w:rFonts w:ascii="Times New Roman" w:hAnsi="Times New Roman" w:cs="Times New Roman"/>
          <w:sz w:val="24"/>
          <w:szCs w:val="24"/>
        </w:rPr>
        <w:t>s key to note this as</w:t>
      </w:r>
      <w:r w:rsidR="002C4BF8">
        <w:rPr>
          <w:rFonts w:ascii="Times New Roman" w:hAnsi="Times New Roman" w:cs="Times New Roman"/>
          <w:sz w:val="24"/>
          <w:szCs w:val="24"/>
        </w:rPr>
        <w:t xml:space="preserve"> family and marriage </w:t>
      </w:r>
      <w:r w:rsidR="007B5C2B">
        <w:rPr>
          <w:rFonts w:ascii="Times New Roman" w:hAnsi="Times New Roman" w:cs="Times New Roman"/>
          <w:sz w:val="24"/>
          <w:szCs w:val="24"/>
        </w:rPr>
        <w:t>are</w:t>
      </w:r>
      <w:r w:rsidR="002C4BF8">
        <w:rPr>
          <w:rFonts w:ascii="Times New Roman" w:hAnsi="Times New Roman" w:cs="Times New Roman"/>
          <w:sz w:val="24"/>
          <w:szCs w:val="24"/>
        </w:rPr>
        <w:t xml:space="preserve"> seen as the most important </w:t>
      </w:r>
      <w:r w:rsidR="00F6132A">
        <w:rPr>
          <w:rFonts w:ascii="Times New Roman" w:hAnsi="Times New Roman" w:cs="Times New Roman"/>
          <w:sz w:val="24"/>
          <w:szCs w:val="24"/>
        </w:rPr>
        <w:t>outcome</w:t>
      </w:r>
      <w:r w:rsidR="00AD0EDC">
        <w:rPr>
          <w:rFonts w:ascii="Times New Roman" w:hAnsi="Times New Roman" w:cs="Times New Roman"/>
          <w:sz w:val="24"/>
          <w:szCs w:val="24"/>
        </w:rPr>
        <w:t xml:space="preserve"> attached to reproduction since the 1800’s </w:t>
      </w:r>
      <w:r w:rsidR="000D5D8E">
        <w:rPr>
          <w:rFonts w:ascii="Times New Roman" w:hAnsi="Times New Roman" w:cs="Times New Roman"/>
          <w:sz w:val="24"/>
          <w:szCs w:val="24"/>
        </w:rPr>
        <w:t xml:space="preserve">during </w:t>
      </w:r>
      <w:r w:rsidR="00AD0EDC">
        <w:rPr>
          <w:rFonts w:ascii="Times New Roman" w:hAnsi="Times New Roman" w:cs="Times New Roman"/>
          <w:sz w:val="24"/>
          <w:szCs w:val="24"/>
        </w:rPr>
        <w:t>the Social Purity Movement</w:t>
      </w:r>
      <w:r w:rsidR="000D5D8E">
        <w:rPr>
          <w:rFonts w:ascii="Times New Roman" w:hAnsi="Times New Roman" w:cs="Times New Roman"/>
          <w:sz w:val="24"/>
          <w:szCs w:val="24"/>
        </w:rPr>
        <w:t>.</w:t>
      </w:r>
      <w:r w:rsidR="00EF343B">
        <w:rPr>
          <w:rFonts w:ascii="Times New Roman" w:hAnsi="Times New Roman" w:cs="Times New Roman"/>
          <w:sz w:val="24"/>
          <w:szCs w:val="24"/>
        </w:rPr>
        <w:t xml:space="preserve"> </w:t>
      </w:r>
      <w:r w:rsidR="00D7093B">
        <w:rPr>
          <w:rFonts w:ascii="Times New Roman" w:hAnsi="Times New Roman" w:cs="Times New Roman"/>
          <w:sz w:val="24"/>
          <w:szCs w:val="24"/>
        </w:rPr>
        <w:t xml:space="preserve">The health curriculum of </w:t>
      </w:r>
      <w:r w:rsidR="00D71B59">
        <w:rPr>
          <w:rFonts w:ascii="Times New Roman" w:hAnsi="Times New Roman" w:cs="Times New Roman"/>
          <w:sz w:val="24"/>
          <w:szCs w:val="24"/>
        </w:rPr>
        <w:t>1978 is a little more in depth outlining what should be discussed</w:t>
      </w:r>
      <w:r w:rsidR="008D6471">
        <w:rPr>
          <w:rFonts w:ascii="Times New Roman" w:hAnsi="Times New Roman" w:cs="Times New Roman"/>
          <w:sz w:val="24"/>
          <w:szCs w:val="24"/>
        </w:rPr>
        <w:t xml:space="preserve">, but the information that </w:t>
      </w:r>
      <w:r w:rsidR="008254CA">
        <w:rPr>
          <w:rFonts w:ascii="Times New Roman" w:hAnsi="Times New Roman" w:cs="Times New Roman"/>
          <w:sz w:val="24"/>
          <w:szCs w:val="24"/>
        </w:rPr>
        <w:t>was recommended to be taught had</w:t>
      </w:r>
      <w:r w:rsidR="008D6471">
        <w:rPr>
          <w:rFonts w:ascii="Times New Roman" w:hAnsi="Times New Roman" w:cs="Times New Roman"/>
          <w:sz w:val="24"/>
          <w:szCs w:val="24"/>
        </w:rPr>
        <w:t xml:space="preserve"> no specific teaching method attached to it; this in turn</w:t>
      </w:r>
      <w:r w:rsidR="008254CA">
        <w:rPr>
          <w:rFonts w:ascii="Times New Roman" w:hAnsi="Times New Roman" w:cs="Times New Roman"/>
          <w:sz w:val="24"/>
          <w:szCs w:val="24"/>
        </w:rPr>
        <w:t xml:space="preserve"> allowed</w:t>
      </w:r>
      <w:r w:rsidR="008D6471">
        <w:rPr>
          <w:rFonts w:ascii="Times New Roman" w:hAnsi="Times New Roman" w:cs="Times New Roman"/>
          <w:sz w:val="24"/>
          <w:szCs w:val="24"/>
        </w:rPr>
        <w:t xml:space="preserve"> the teacher to decide how it w</w:t>
      </w:r>
      <w:r w:rsidR="008254CA">
        <w:rPr>
          <w:rFonts w:ascii="Times New Roman" w:hAnsi="Times New Roman" w:cs="Times New Roman"/>
          <w:sz w:val="24"/>
          <w:szCs w:val="24"/>
        </w:rPr>
        <w:t>ould</w:t>
      </w:r>
      <w:r w:rsidR="008D6471">
        <w:rPr>
          <w:rFonts w:ascii="Times New Roman" w:hAnsi="Times New Roman" w:cs="Times New Roman"/>
          <w:sz w:val="24"/>
          <w:szCs w:val="24"/>
        </w:rPr>
        <w:t xml:space="preserve"> be taught and how much time w</w:t>
      </w:r>
      <w:r w:rsidR="008254CA">
        <w:rPr>
          <w:rFonts w:ascii="Times New Roman" w:hAnsi="Times New Roman" w:cs="Times New Roman"/>
          <w:sz w:val="24"/>
          <w:szCs w:val="24"/>
        </w:rPr>
        <w:t>ould</w:t>
      </w:r>
      <w:r w:rsidR="008D6471">
        <w:rPr>
          <w:rFonts w:ascii="Times New Roman" w:hAnsi="Times New Roman" w:cs="Times New Roman"/>
          <w:sz w:val="24"/>
          <w:szCs w:val="24"/>
        </w:rPr>
        <w:t xml:space="preserve"> be spent </w:t>
      </w:r>
      <w:r w:rsidR="007A3C21">
        <w:rPr>
          <w:rFonts w:ascii="Times New Roman" w:hAnsi="Times New Roman" w:cs="Times New Roman"/>
          <w:sz w:val="24"/>
          <w:szCs w:val="24"/>
        </w:rPr>
        <w:t xml:space="preserve">teaching it. Under the “sexually transmitted diseases” section </w:t>
      </w:r>
      <w:r w:rsidR="001C436A">
        <w:rPr>
          <w:rFonts w:ascii="Times New Roman" w:hAnsi="Times New Roman" w:cs="Times New Roman"/>
          <w:sz w:val="24"/>
          <w:szCs w:val="24"/>
        </w:rPr>
        <w:t xml:space="preserve">it specifies that social and value </w:t>
      </w:r>
      <w:r w:rsidR="004946FB">
        <w:rPr>
          <w:rFonts w:ascii="Times New Roman" w:hAnsi="Times New Roman" w:cs="Times New Roman"/>
          <w:sz w:val="24"/>
          <w:szCs w:val="24"/>
        </w:rPr>
        <w:t>considerations should be discussed</w:t>
      </w:r>
      <w:r w:rsidR="00FB53BE">
        <w:rPr>
          <w:rStyle w:val="FootnoteReference"/>
          <w:rFonts w:ascii="Times New Roman" w:hAnsi="Times New Roman" w:cs="Times New Roman"/>
          <w:sz w:val="24"/>
          <w:szCs w:val="24"/>
        </w:rPr>
        <w:footnoteReference w:id="14"/>
      </w:r>
      <w:r w:rsidR="004946FB">
        <w:rPr>
          <w:rFonts w:ascii="Times New Roman" w:hAnsi="Times New Roman" w:cs="Times New Roman"/>
          <w:sz w:val="24"/>
          <w:szCs w:val="24"/>
        </w:rPr>
        <w:t>. Thus</w:t>
      </w:r>
      <w:r w:rsidR="00FB53BE">
        <w:rPr>
          <w:rFonts w:ascii="Times New Roman" w:hAnsi="Times New Roman" w:cs="Times New Roman"/>
          <w:sz w:val="24"/>
          <w:szCs w:val="24"/>
        </w:rPr>
        <w:t>,</w:t>
      </w:r>
      <w:r w:rsidR="004946FB">
        <w:rPr>
          <w:rFonts w:ascii="Times New Roman" w:hAnsi="Times New Roman" w:cs="Times New Roman"/>
          <w:sz w:val="24"/>
          <w:szCs w:val="24"/>
        </w:rPr>
        <w:t xml:space="preserve"> you can assume that whatever the values during that time by society which were seen acceptable would be pushed upon</w:t>
      </w:r>
      <w:r w:rsidR="00FB53BE">
        <w:rPr>
          <w:rFonts w:ascii="Times New Roman" w:hAnsi="Times New Roman" w:cs="Times New Roman"/>
          <w:sz w:val="24"/>
          <w:szCs w:val="24"/>
        </w:rPr>
        <w:t xml:space="preserve"> the class. </w:t>
      </w:r>
      <w:r w:rsidR="00B230A9">
        <w:rPr>
          <w:rFonts w:ascii="Times New Roman" w:hAnsi="Times New Roman" w:cs="Times New Roman"/>
          <w:sz w:val="24"/>
          <w:szCs w:val="24"/>
        </w:rPr>
        <w:t>D</w:t>
      </w:r>
      <w:r w:rsidR="002E6D68">
        <w:rPr>
          <w:rFonts w:ascii="Times New Roman" w:hAnsi="Times New Roman" w:cs="Times New Roman"/>
          <w:sz w:val="24"/>
          <w:szCs w:val="24"/>
        </w:rPr>
        <w:t>ue to the controversial nature of sex education there was no mandatory curriculum until 1987</w:t>
      </w:r>
      <w:r w:rsidR="00851571">
        <w:rPr>
          <w:rFonts w:ascii="Times New Roman" w:hAnsi="Times New Roman" w:cs="Times New Roman"/>
          <w:sz w:val="24"/>
          <w:szCs w:val="24"/>
        </w:rPr>
        <w:t xml:space="preserve"> prompted by the AIDs </w:t>
      </w:r>
      <w:r w:rsidR="00FB3A58">
        <w:rPr>
          <w:rFonts w:ascii="Times New Roman" w:hAnsi="Times New Roman" w:cs="Times New Roman"/>
          <w:sz w:val="24"/>
          <w:szCs w:val="24"/>
        </w:rPr>
        <w:t>epidemic</w:t>
      </w:r>
      <w:r w:rsidR="002E7F0C">
        <w:rPr>
          <w:rStyle w:val="FootnoteReference"/>
          <w:rFonts w:ascii="Times New Roman" w:hAnsi="Times New Roman" w:cs="Times New Roman"/>
          <w:sz w:val="24"/>
          <w:szCs w:val="24"/>
        </w:rPr>
        <w:footnoteReference w:id="15"/>
      </w:r>
      <w:r w:rsidR="002E6D68">
        <w:rPr>
          <w:rFonts w:ascii="Times New Roman" w:hAnsi="Times New Roman" w:cs="Times New Roman"/>
          <w:sz w:val="24"/>
          <w:szCs w:val="24"/>
        </w:rPr>
        <w:t>.</w:t>
      </w:r>
      <w:r w:rsidR="004043F9">
        <w:rPr>
          <w:rFonts w:ascii="Times New Roman" w:hAnsi="Times New Roman" w:cs="Times New Roman"/>
          <w:sz w:val="24"/>
          <w:szCs w:val="24"/>
        </w:rPr>
        <w:t xml:space="preserve"> </w:t>
      </w:r>
      <w:r w:rsidR="002C50E7">
        <w:rPr>
          <w:rFonts w:ascii="Times New Roman" w:hAnsi="Times New Roman" w:cs="Times New Roman"/>
          <w:sz w:val="24"/>
          <w:szCs w:val="24"/>
        </w:rPr>
        <w:t xml:space="preserve">Teachers had a difficult task trying to </w:t>
      </w:r>
      <w:r w:rsidR="007275F6">
        <w:rPr>
          <w:rFonts w:ascii="Times New Roman" w:hAnsi="Times New Roman" w:cs="Times New Roman"/>
          <w:sz w:val="24"/>
          <w:szCs w:val="24"/>
        </w:rPr>
        <w:t xml:space="preserve">devise a plan to educate students in the appropriate way </w:t>
      </w:r>
      <w:r w:rsidR="00224E65">
        <w:rPr>
          <w:rFonts w:ascii="Times New Roman" w:hAnsi="Times New Roman" w:cs="Times New Roman"/>
          <w:sz w:val="24"/>
          <w:szCs w:val="24"/>
        </w:rPr>
        <w:t>in a c</w:t>
      </w:r>
      <w:r w:rsidR="007275F6">
        <w:rPr>
          <w:rFonts w:ascii="Times New Roman" w:hAnsi="Times New Roman" w:cs="Times New Roman"/>
          <w:sz w:val="24"/>
          <w:szCs w:val="24"/>
        </w:rPr>
        <w:t xml:space="preserve">onservative climate during much of </w:t>
      </w:r>
      <w:r w:rsidR="00C9395E">
        <w:rPr>
          <w:rFonts w:ascii="Times New Roman" w:hAnsi="Times New Roman" w:cs="Times New Roman"/>
          <w:sz w:val="24"/>
          <w:szCs w:val="24"/>
        </w:rPr>
        <w:t xml:space="preserve">the </w:t>
      </w:r>
      <w:r w:rsidR="007275F6">
        <w:rPr>
          <w:rFonts w:ascii="Times New Roman" w:hAnsi="Times New Roman" w:cs="Times New Roman"/>
          <w:sz w:val="24"/>
          <w:szCs w:val="24"/>
        </w:rPr>
        <w:t>later half of the 20</w:t>
      </w:r>
      <w:r w:rsidR="007275F6" w:rsidRPr="007275F6">
        <w:rPr>
          <w:rFonts w:ascii="Times New Roman" w:hAnsi="Times New Roman" w:cs="Times New Roman"/>
          <w:sz w:val="24"/>
          <w:szCs w:val="24"/>
          <w:vertAlign w:val="superscript"/>
        </w:rPr>
        <w:t>th</w:t>
      </w:r>
      <w:r w:rsidR="007275F6">
        <w:rPr>
          <w:rFonts w:ascii="Times New Roman" w:hAnsi="Times New Roman" w:cs="Times New Roman"/>
          <w:sz w:val="24"/>
          <w:szCs w:val="24"/>
        </w:rPr>
        <w:t xml:space="preserve"> </w:t>
      </w:r>
      <w:r w:rsidR="00224E65">
        <w:rPr>
          <w:rFonts w:ascii="Times New Roman" w:hAnsi="Times New Roman" w:cs="Times New Roman"/>
          <w:sz w:val="24"/>
          <w:szCs w:val="24"/>
        </w:rPr>
        <w:t>century</w:t>
      </w:r>
      <w:r w:rsidR="000062F9">
        <w:rPr>
          <w:rStyle w:val="FootnoteReference"/>
          <w:rFonts w:ascii="Times New Roman" w:hAnsi="Times New Roman" w:cs="Times New Roman"/>
          <w:sz w:val="24"/>
          <w:szCs w:val="24"/>
        </w:rPr>
        <w:footnoteReference w:id="16"/>
      </w:r>
      <w:r w:rsidR="00224E65">
        <w:rPr>
          <w:rFonts w:ascii="Times New Roman" w:hAnsi="Times New Roman" w:cs="Times New Roman"/>
          <w:sz w:val="24"/>
          <w:szCs w:val="24"/>
        </w:rPr>
        <w:t xml:space="preserve">. </w:t>
      </w:r>
      <w:r w:rsidR="004043F9">
        <w:rPr>
          <w:rFonts w:ascii="Times New Roman" w:hAnsi="Times New Roman" w:cs="Times New Roman"/>
          <w:sz w:val="24"/>
          <w:szCs w:val="24"/>
        </w:rPr>
        <w:t>The curriculum which was created and implemented in 1998 references to inclusion</w:t>
      </w:r>
      <w:r w:rsidR="00F02462">
        <w:rPr>
          <w:rFonts w:ascii="Times New Roman" w:hAnsi="Times New Roman" w:cs="Times New Roman"/>
          <w:sz w:val="24"/>
          <w:szCs w:val="24"/>
        </w:rPr>
        <w:t xml:space="preserve"> many times over as well as “effective sexual health”, there is no definition as to what</w:t>
      </w:r>
      <w:r w:rsidR="00641753">
        <w:rPr>
          <w:rFonts w:ascii="Times New Roman" w:hAnsi="Times New Roman" w:cs="Times New Roman"/>
          <w:sz w:val="24"/>
          <w:szCs w:val="24"/>
        </w:rPr>
        <w:t xml:space="preserve"> that means nor to what</w:t>
      </w:r>
      <w:r w:rsidR="00F02462">
        <w:rPr>
          <w:rFonts w:ascii="Times New Roman" w:hAnsi="Times New Roman" w:cs="Times New Roman"/>
          <w:sz w:val="24"/>
          <w:szCs w:val="24"/>
        </w:rPr>
        <w:t xml:space="preserve"> “</w:t>
      </w:r>
      <w:r w:rsidR="00641753">
        <w:rPr>
          <w:rFonts w:ascii="Times New Roman" w:hAnsi="Times New Roman" w:cs="Times New Roman"/>
          <w:sz w:val="24"/>
          <w:szCs w:val="24"/>
        </w:rPr>
        <w:t>positive</w:t>
      </w:r>
      <w:r w:rsidR="00F02462">
        <w:rPr>
          <w:rFonts w:ascii="Times New Roman" w:hAnsi="Times New Roman" w:cs="Times New Roman"/>
          <w:sz w:val="24"/>
          <w:szCs w:val="24"/>
        </w:rPr>
        <w:t xml:space="preserve"> sexual health” </w:t>
      </w:r>
      <w:r w:rsidR="00641753">
        <w:rPr>
          <w:rFonts w:ascii="Times New Roman" w:hAnsi="Times New Roman" w:cs="Times New Roman"/>
          <w:sz w:val="24"/>
          <w:szCs w:val="24"/>
        </w:rPr>
        <w:t>or</w:t>
      </w:r>
      <w:r w:rsidR="00F02462">
        <w:rPr>
          <w:rFonts w:ascii="Times New Roman" w:hAnsi="Times New Roman" w:cs="Times New Roman"/>
          <w:sz w:val="24"/>
          <w:szCs w:val="24"/>
        </w:rPr>
        <w:t xml:space="preserve"> “negative sexual health</w:t>
      </w:r>
      <w:r w:rsidR="00B71FBE">
        <w:rPr>
          <w:rFonts w:ascii="Times New Roman" w:hAnsi="Times New Roman" w:cs="Times New Roman"/>
          <w:sz w:val="24"/>
          <w:szCs w:val="24"/>
        </w:rPr>
        <w:t xml:space="preserve">” </w:t>
      </w:r>
      <w:r w:rsidR="00F02462">
        <w:rPr>
          <w:rFonts w:ascii="Times New Roman" w:hAnsi="Times New Roman" w:cs="Times New Roman"/>
          <w:sz w:val="24"/>
          <w:szCs w:val="24"/>
        </w:rPr>
        <w:t>outcomes</w:t>
      </w:r>
      <w:r w:rsidR="007F5BA7">
        <w:rPr>
          <w:rFonts w:ascii="Times New Roman" w:hAnsi="Times New Roman" w:cs="Times New Roman"/>
          <w:sz w:val="24"/>
          <w:szCs w:val="24"/>
        </w:rPr>
        <w:t xml:space="preserve"> </w:t>
      </w:r>
      <w:r w:rsidR="00F02462">
        <w:rPr>
          <w:rFonts w:ascii="Times New Roman" w:hAnsi="Times New Roman" w:cs="Times New Roman"/>
          <w:sz w:val="24"/>
          <w:szCs w:val="24"/>
        </w:rPr>
        <w:t>are</w:t>
      </w:r>
      <w:r w:rsidR="00C1724C">
        <w:rPr>
          <w:rStyle w:val="FootnoteReference"/>
          <w:rFonts w:ascii="Times New Roman" w:hAnsi="Times New Roman" w:cs="Times New Roman"/>
          <w:sz w:val="24"/>
          <w:szCs w:val="24"/>
        </w:rPr>
        <w:footnoteReference w:id="17"/>
      </w:r>
      <w:r w:rsidR="006F2DBD">
        <w:rPr>
          <w:rFonts w:ascii="Times New Roman" w:hAnsi="Times New Roman" w:cs="Times New Roman"/>
          <w:sz w:val="24"/>
          <w:szCs w:val="24"/>
        </w:rPr>
        <w:t>.</w:t>
      </w:r>
      <w:r w:rsidR="00566B93">
        <w:rPr>
          <w:rFonts w:ascii="Times New Roman" w:hAnsi="Times New Roman" w:cs="Times New Roman"/>
          <w:sz w:val="24"/>
          <w:szCs w:val="24"/>
        </w:rPr>
        <w:t xml:space="preserve"> The problem with </w:t>
      </w:r>
      <w:r w:rsidR="00B24420">
        <w:rPr>
          <w:rFonts w:ascii="Times New Roman" w:hAnsi="Times New Roman" w:cs="Times New Roman"/>
          <w:sz w:val="24"/>
          <w:szCs w:val="24"/>
        </w:rPr>
        <w:t xml:space="preserve">the </w:t>
      </w:r>
      <w:r w:rsidR="00566B93">
        <w:rPr>
          <w:rFonts w:ascii="Times New Roman" w:hAnsi="Times New Roman" w:cs="Times New Roman"/>
          <w:sz w:val="24"/>
          <w:szCs w:val="24"/>
        </w:rPr>
        <w:t xml:space="preserve">curriculum is the reader can speculate and insert their own assertations as to what ‘negative’ </w:t>
      </w:r>
      <w:r w:rsidR="00B24420">
        <w:rPr>
          <w:rFonts w:ascii="Times New Roman" w:hAnsi="Times New Roman" w:cs="Times New Roman"/>
          <w:sz w:val="24"/>
          <w:szCs w:val="24"/>
        </w:rPr>
        <w:t xml:space="preserve">and </w:t>
      </w:r>
      <w:r w:rsidR="00566B93">
        <w:rPr>
          <w:rFonts w:ascii="Times New Roman" w:hAnsi="Times New Roman" w:cs="Times New Roman"/>
          <w:sz w:val="24"/>
          <w:szCs w:val="24"/>
        </w:rPr>
        <w:t>‘positive’</w:t>
      </w:r>
      <w:r w:rsidR="00B24420">
        <w:rPr>
          <w:rFonts w:ascii="Times New Roman" w:hAnsi="Times New Roman" w:cs="Times New Roman"/>
          <w:sz w:val="24"/>
          <w:szCs w:val="24"/>
        </w:rPr>
        <w:t xml:space="preserve"> means in this document</w:t>
      </w:r>
      <w:r w:rsidR="00566B93">
        <w:rPr>
          <w:rFonts w:ascii="Times New Roman" w:hAnsi="Times New Roman" w:cs="Times New Roman"/>
          <w:sz w:val="24"/>
          <w:szCs w:val="24"/>
        </w:rPr>
        <w:t xml:space="preserve">. </w:t>
      </w:r>
      <w:r w:rsidR="00B24427">
        <w:rPr>
          <w:rFonts w:ascii="Times New Roman" w:hAnsi="Times New Roman" w:cs="Times New Roman"/>
          <w:sz w:val="24"/>
          <w:szCs w:val="24"/>
        </w:rPr>
        <w:t xml:space="preserve">Because sexual health education is a touchy </w:t>
      </w:r>
      <w:r w:rsidR="00B24427">
        <w:rPr>
          <w:rFonts w:ascii="Times New Roman" w:hAnsi="Times New Roman" w:cs="Times New Roman"/>
          <w:sz w:val="24"/>
          <w:szCs w:val="24"/>
        </w:rPr>
        <w:lastRenderedPageBreak/>
        <w:t xml:space="preserve">subject </w:t>
      </w:r>
      <w:r w:rsidR="00A568BF">
        <w:rPr>
          <w:rFonts w:ascii="Times New Roman" w:hAnsi="Times New Roman" w:cs="Times New Roman"/>
          <w:sz w:val="24"/>
          <w:szCs w:val="24"/>
        </w:rPr>
        <w:t xml:space="preserve">for </w:t>
      </w:r>
      <w:r w:rsidR="00B24427">
        <w:rPr>
          <w:rFonts w:ascii="Times New Roman" w:hAnsi="Times New Roman" w:cs="Times New Roman"/>
          <w:sz w:val="24"/>
          <w:szCs w:val="24"/>
        </w:rPr>
        <w:t>many people including</w:t>
      </w:r>
      <w:r w:rsidR="00A568BF">
        <w:rPr>
          <w:rFonts w:ascii="Times New Roman" w:hAnsi="Times New Roman" w:cs="Times New Roman"/>
          <w:sz w:val="24"/>
          <w:szCs w:val="24"/>
        </w:rPr>
        <w:t>:</w:t>
      </w:r>
      <w:r w:rsidR="00B24427">
        <w:rPr>
          <w:rFonts w:ascii="Times New Roman" w:hAnsi="Times New Roman" w:cs="Times New Roman"/>
          <w:sz w:val="24"/>
          <w:szCs w:val="24"/>
        </w:rPr>
        <w:t xml:space="preserve"> teachers, parents, students and policy makers</w:t>
      </w:r>
      <w:r w:rsidR="00A568BF">
        <w:rPr>
          <w:rFonts w:ascii="Times New Roman" w:hAnsi="Times New Roman" w:cs="Times New Roman"/>
          <w:sz w:val="24"/>
          <w:szCs w:val="24"/>
        </w:rPr>
        <w:t xml:space="preserve">, it made it hard to create a program which would include </w:t>
      </w:r>
      <w:r w:rsidR="003D5D40">
        <w:rPr>
          <w:rFonts w:ascii="Times New Roman" w:hAnsi="Times New Roman" w:cs="Times New Roman"/>
          <w:sz w:val="24"/>
          <w:szCs w:val="24"/>
        </w:rPr>
        <w:t>all</w:t>
      </w:r>
      <w:r w:rsidR="00A568BF">
        <w:rPr>
          <w:rFonts w:ascii="Times New Roman" w:hAnsi="Times New Roman" w:cs="Times New Roman"/>
          <w:sz w:val="24"/>
          <w:szCs w:val="24"/>
        </w:rPr>
        <w:t xml:space="preserve"> those people’s beliefs and </w:t>
      </w:r>
      <w:r w:rsidR="00614491">
        <w:rPr>
          <w:rFonts w:ascii="Times New Roman" w:hAnsi="Times New Roman" w:cs="Times New Roman"/>
          <w:sz w:val="24"/>
          <w:szCs w:val="24"/>
        </w:rPr>
        <w:t xml:space="preserve">cover their needs. Due to the large influence of individual beliefs, sex education was not </w:t>
      </w:r>
      <w:r w:rsidR="003D5D40">
        <w:rPr>
          <w:rFonts w:ascii="Times New Roman" w:hAnsi="Times New Roman" w:cs="Times New Roman"/>
          <w:sz w:val="24"/>
          <w:szCs w:val="24"/>
        </w:rPr>
        <w:t xml:space="preserve">compulsory until 30 years ago. </w:t>
      </w:r>
      <w:r w:rsidR="00001BB6">
        <w:rPr>
          <w:rFonts w:ascii="Times New Roman" w:hAnsi="Times New Roman" w:cs="Times New Roman"/>
          <w:sz w:val="24"/>
          <w:szCs w:val="24"/>
        </w:rPr>
        <w:t>When it was t</w:t>
      </w:r>
      <w:r w:rsidR="00A67CDB">
        <w:rPr>
          <w:rFonts w:ascii="Times New Roman" w:hAnsi="Times New Roman" w:cs="Times New Roman"/>
          <w:sz w:val="24"/>
          <w:szCs w:val="24"/>
        </w:rPr>
        <w:t>a</w:t>
      </w:r>
      <w:r w:rsidR="00001BB6">
        <w:rPr>
          <w:rFonts w:ascii="Times New Roman" w:hAnsi="Times New Roman" w:cs="Times New Roman"/>
          <w:sz w:val="24"/>
          <w:szCs w:val="24"/>
        </w:rPr>
        <w:t xml:space="preserve">ught, </w:t>
      </w:r>
      <w:r w:rsidR="00E543F3">
        <w:rPr>
          <w:rFonts w:ascii="Times New Roman" w:hAnsi="Times New Roman" w:cs="Times New Roman"/>
          <w:sz w:val="24"/>
          <w:szCs w:val="24"/>
        </w:rPr>
        <w:t>minimal in</w:t>
      </w:r>
      <w:r w:rsidR="007667B2">
        <w:rPr>
          <w:rFonts w:ascii="Times New Roman" w:hAnsi="Times New Roman" w:cs="Times New Roman"/>
          <w:sz w:val="24"/>
          <w:szCs w:val="24"/>
        </w:rPr>
        <w:t xml:space="preserve">formation </w:t>
      </w:r>
      <w:r w:rsidR="006C3722">
        <w:rPr>
          <w:rFonts w:ascii="Times New Roman" w:hAnsi="Times New Roman" w:cs="Times New Roman"/>
          <w:sz w:val="24"/>
          <w:szCs w:val="24"/>
        </w:rPr>
        <w:t xml:space="preserve">was </w:t>
      </w:r>
      <w:r w:rsidR="007667B2">
        <w:rPr>
          <w:rFonts w:ascii="Times New Roman" w:hAnsi="Times New Roman" w:cs="Times New Roman"/>
          <w:sz w:val="24"/>
          <w:szCs w:val="24"/>
        </w:rPr>
        <w:t xml:space="preserve">explained using </w:t>
      </w:r>
      <w:r w:rsidR="00EA120B">
        <w:rPr>
          <w:rFonts w:ascii="Times New Roman" w:hAnsi="Times New Roman" w:cs="Times New Roman"/>
          <w:sz w:val="24"/>
          <w:szCs w:val="24"/>
        </w:rPr>
        <w:t>science and typically supported the traditional values of a nuclear family and gender-specific role</w:t>
      </w:r>
      <w:r w:rsidR="00E543F3">
        <w:rPr>
          <w:rFonts w:ascii="Times New Roman" w:hAnsi="Times New Roman" w:cs="Times New Roman"/>
          <w:sz w:val="24"/>
          <w:szCs w:val="24"/>
        </w:rPr>
        <w:t xml:space="preserve">s which all stemmed </w:t>
      </w:r>
      <w:r w:rsidR="00FD1475">
        <w:rPr>
          <w:rFonts w:ascii="Times New Roman" w:hAnsi="Times New Roman" w:cs="Times New Roman"/>
          <w:sz w:val="24"/>
          <w:szCs w:val="24"/>
        </w:rPr>
        <w:t xml:space="preserve">from </w:t>
      </w:r>
      <w:r w:rsidR="004210F7">
        <w:rPr>
          <w:rFonts w:ascii="Times New Roman" w:hAnsi="Times New Roman" w:cs="Times New Roman"/>
          <w:sz w:val="24"/>
          <w:szCs w:val="24"/>
        </w:rPr>
        <w:t xml:space="preserve">the </w:t>
      </w:r>
      <w:r w:rsidR="00E543F3">
        <w:rPr>
          <w:rFonts w:ascii="Times New Roman" w:hAnsi="Times New Roman" w:cs="Times New Roman"/>
          <w:sz w:val="24"/>
          <w:szCs w:val="24"/>
        </w:rPr>
        <w:t>con</w:t>
      </w:r>
      <w:r w:rsidR="00744498">
        <w:rPr>
          <w:rFonts w:ascii="Times New Roman" w:hAnsi="Times New Roman" w:cs="Times New Roman"/>
          <w:sz w:val="24"/>
          <w:szCs w:val="24"/>
        </w:rPr>
        <w:t xml:space="preserve">servative perspective of </w:t>
      </w:r>
      <w:r w:rsidR="00FD1475">
        <w:rPr>
          <w:rFonts w:ascii="Times New Roman" w:hAnsi="Times New Roman" w:cs="Times New Roman"/>
          <w:sz w:val="24"/>
          <w:szCs w:val="24"/>
        </w:rPr>
        <w:t xml:space="preserve">the </w:t>
      </w:r>
      <w:r w:rsidR="00744498">
        <w:rPr>
          <w:rFonts w:ascii="Times New Roman" w:hAnsi="Times New Roman" w:cs="Times New Roman"/>
          <w:sz w:val="24"/>
          <w:szCs w:val="24"/>
        </w:rPr>
        <w:t xml:space="preserve">white, middle-class, Judeo-Christians. </w:t>
      </w:r>
    </w:p>
    <w:p w14:paraId="153E5FB8" w14:textId="5BA576F7" w:rsidR="008B4CA3" w:rsidRDefault="00E4604D" w:rsidP="008B4CA3">
      <w:pPr>
        <w:spacing w:line="480" w:lineRule="auto"/>
        <w:ind w:firstLine="720"/>
        <w:rPr>
          <w:rFonts w:ascii="Times New Roman" w:hAnsi="Times New Roman" w:cs="Times New Roman"/>
          <w:sz w:val="24"/>
          <w:szCs w:val="24"/>
        </w:rPr>
      </w:pPr>
      <w:r>
        <w:rPr>
          <w:rFonts w:ascii="Times New Roman" w:hAnsi="Times New Roman" w:cs="Times New Roman"/>
          <w:sz w:val="24"/>
          <w:szCs w:val="24"/>
        </w:rPr>
        <w:t>Policies</w:t>
      </w:r>
      <w:r w:rsidR="00F819E0">
        <w:rPr>
          <w:rFonts w:ascii="Times New Roman" w:hAnsi="Times New Roman" w:cs="Times New Roman"/>
          <w:sz w:val="24"/>
          <w:szCs w:val="24"/>
        </w:rPr>
        <w:t xml:space="preserve"> </w:t>
      </w:r>
      <w:r w:rsidR="008025B6">
        <w:rPr>
          <w:rFonts w:ascii="Times New Roman" w:hAnsi="Times New Roman" w:cs="Times New Roman"/>
          <w:sz w:val="24"/>
          <w:szCs w:val="24"/>
        </w:rPr>
        <w:t>regarding</w:t>
      </w:r>
      <w:r w:rsidR="00F819E0">
        <w:rPr>
          <w:rFonts w:ascii="Times New Roman" w:hAnsi="Times New Roman" w:cs="Times New Roman"/>
          <w:sz w:val="24"/>
          <w:szCs w:val="24"/>
        </w:rPr>
        <w:t xml:space="preserve"> </w:t>
      </w:r>
      <w:r w:rsidR="00E04597">
        <w:rPr>
          <w:rFonts w:ascii="Times New Roman" w:hAnsi="Times New Roman" w:cs="Times New Roman"/>
          <w:sz w:val="24"/>
          <w:szCs w:val="24"/>
        </w:rPr>
        <w:t xml:space="preserve">sex education </w:t>
      </w:r>
      <w:r w:rsidR="004168C0">
        <w:rPr>
          <w:rFonts w:ascii="Times New Roman" w:hAnsi="Times New Roman" w:cs="Times New Roman"/>
          <w:sz w:val="24"/>
          <w:szCs w:val="24"/>
        </w:rPr>
        <w:t>for many years did not exist, and</w:t>
      </w:r>
      <w:r w:rsidR="00E04597">
        <w:rPr>
          <w:rFonts w:ascii="Times New Roman" w:hAnsi="Times New Roman" w:cs="Times New Roman"/>
          <w:sz w:val="24"/>
          <w:szCs w:val="24"/>
        </w:rPr>
        <w:t xml:space="preserve"> once</w:t>
      </w:r>
      <w:r w:rsidR="006F482D">
        <w:rPr>
          <w:rFonts w:ascii="Times New Roman" w:hAnsi="Times New Roman" w:cs="Times New Roman"/>
          <w:sz w:val="24"/>
          <w:szCs w:val="24"/>
        </w:rPr>
        <w:t xml:space="preserve"> created </w:t>
      </w:r>
      <w:r w:rsidR="004168C0">
        <w:rPr>
          <w:rFonts w:ascii="Times New Roman" w:hAnsi="Times New Roman" w:cs="Times New Roman"/>
          <w:sz w:val="24"/>
          <w:szCs w:val="24"/>
        </w:rPr>
        <w:t xml:space="preserve">were </w:t>
      </w:r>
      <w:r w:rsidR="006F482D">
        <w:rPr>
          <w:rFonts w:ascii="Times New Roman" w:hAnsi="Times New Roman" w:cs="Times New Roman"/>
          <w:sz w:val="24"/>
          <w:szCs w:val="24"/>
        </w:rPr>
        <w:t>very lackadaisical</w:t>
      </w:r>
      <w:r w:rsidR="00357580">
        <w:rPr>
          <w:rFonts w:ascii="Times New Roman" w:hAnsi="Times New Roman" w:cs="Times New Roman"/>
          <w:sz w:val="24"/>
          <w:szCs w:val="24"/>
        </w:rPr>
        <w:t>. The Ontario government wanted to avoid</w:t>
      </w:r>
      <w:r w:rsidR="00623C08">
        <w:rPr>
          <w:rFonts w:ascii="Times New Roman" w:hAnsi="Times New Roman" w:cs="Times New Roman"/>
          <w:sz w:val="24"/>
          <w:szCs w:val="24"/>
        </w:rPr>
        <w:t xml:space="preserve"> conflict between parents and </w:t>
      </w:r>
      <w:r w:rsidR="00151C8F">
        <w:rPr>
          <w:rFonts w:ascii="Times New Roman" w:hAnsi="Times New Roman" w:cs="Times New Roman"/>
          <w:sz w:val="24"/>
          <w:szCs w:val="24"/>
        </w:rPr>
        <w:t xml:space="preserve">the local </w:t>
      </w:r>
      <w:r w:rsidR="00623C08">
        <w:rPr>
          <w:rFonts w:ascii="Times New Roman" w:hAnsi="Times New Roman" w:cs="Times New Roman"/>
          <w:sz w:val="24"/>
          <w:szCs w:val="24"/>
        </w:rPr>
        <w:t>school board</w:t>
      </w:r>
      <w:r w:rsidR="00151C8F">
        <w:rPr>
          <w:rFonts w:ascii="Times New Roman" w:hAnsi="Times New Roman" w:cs="Times New Roman"/>
          <w:sz w:val="24"/>
          <w:szCs w:val="24"/>
        </w:rPr>
        <w:t>s</w:t>
      </w:r>
      <w:r w:rsidR="00623C08">
        <w:rPr>
          <w:rFonts w:ascii="Times New Roman" w:hAnsi="Times New Roman" w:cs="Times New Roman"/>
          <w:sz w:val="24"/>
          <w:szCs w:val="24"/>
        </w:rPr>
        <w:t xml:space="preserve">, but also had an obligation to educate the students. </w:t>
      </w:r>
      <w:r w:rsidR="00435DB9">
        <w:rPr>
          <w:rFonts w:ascii="Times New Roman" w:hAnsi="Times New Roman" w:cs="Times New Roman"/>
          <w:sz w:val="24"/>
          <w:szCs w:val="24"/>
        </w:rPr>
        <w:t xml:space="preserve">To </w:t>
      </w:r>
      <w:r w:rsidR="00E27F9A">
        <w:rPr>
          <w:rFonts w:ascii="Times New Roman" w:hAnsi="Times New Roman" w:cs="Times New Roman"/>
          <w:sz w:val="24"/>
          <w:szCs w:val="24"/>
        </w:rPr>
        <w:t>avoid tension between both parties, guidelines were created. Guidelines were problematic as they were only guidelines, it was still up to each local school board if they felt they wanted to implement the</w:t>
      </w:r>
      <w:r w:rsidR="00C963D6">
        <w:rPr>
          <w:rFonts w:ascii="Times New Roman" w:hAnsi="Times New Roman" w:cs="Times New Roman"/>
          <w:sz w:val="24"/>
          <w:szCs w:val="24"/>
        </w:rPr>
        <w:t>m</w:t>
      </w:r>
      <w:r w:rsidR="00723941">
        <w:rPr>
          <w:rFonts w:ascii="Times New Roman" w:hAnsi="Times New Roman" w:cs="Times New Roman"/>
          <w:sz w:val="24"/>
          <w:szCs w:val="24"/>
        </w:rPr>
        <w:t xml:space="preserve"> and how they would implement them. Looking at a survey </w:t>
      </w:r>
      <w:r w:rsidR="00AB1D2A">
        <w:rPr>
          <w:rFonts w:ascii="Times New Roman" w:hAnsi="Times New Roman" w:cs="Times New Roman"/>
          <w:sz w:val="24"/>
          <w:szCs w:val="24"/>
        </w:rPr>
        <w:t xml:space="preserve">taken in 1987 </w:t>
      </w:r>
      <w:r w:rsidR="00E1502C">
        <w:rPr>
          <w:rFonts w:ascii="Times New Roman" w:hAnsi="Times New Roman" w:cs="Times New Roman"/>
          <w:sz w:val="24"/>
          <w:szCs w:val="24"/>
        </w:rPr>
        <w:t>sent to all school boards across Ontario there is great discrepancy between time spent teaching, how it was incorporated into class</w:t>
      </w:r>
      <w:r w:rsidR="001D06D6">
        <w:rPr>
          <w:rFonts w:ascii="Times New Roman" w:hAnsi="Times New Roman" w:cs="Times New Roman"/>
          <w:sz w:val="24"/>
          <w:szCs w:val="24"/>
        </w:rPr>
        <w:t>,</w:t>
      </w:r>
      <w:r w:rsidR="00C07B13">
        <w:rPr>
          <w:rFonts w:ascii="Times New Roman" w:hAnsi="Times New Roman" w:cs="Times New Roman"/>
          <w:sz w:val="24"/>
          <w:szCs w:val="24"/>
        </w:rPr>
        <w:t xml:space="preserve"> </w:t>
      </w:r>
      <w:r w:rsidR="001D06D6">
        <w:rPr>
          <w:rFonts w:ascii="Times New Roman" w:hAnsi="Times New Roman" w:cs="Times New Roman"/>
          <w:sz w:val="24"/>
          <w:szCs w:val="24"/>
        </w:rPr>
        <w:t xml:space="preserve">and if they followed the provincial guideline or if they created their own based </w:t>
      </w:r>
      <w:r w:rsidR="00205EED">
        <w:rPr>
          <w:rFonts w:ascii="Times New Roman" w:hAnsi="Times New Roman" w:cs="Times New Roman"/>
          <w:sz w:val="24"/>
          <w:szCs w:val="24"/>
        </w:rPr>
        <w:t>off</w:t>
      </w:r>
      <w:r w:rsidR="001D06D6">
        <w:rPr>
          <w:rFonts w:ascii="Times New Roman" w:hAnsi="Times New Roman" w:cs="Times New Roman"/>
          <w:sz w:val="24"/>
          <w:szCs w:val="24"/>
        </w:rPr>
        <w:t xml:space="preserve"> previous years or other sources. </w:t>
      </w:r>
      <w:r w:rsidR="008B4CA3">
        <w:rPr>
          <w:rFonts w:ascii="Times New Roman" w:hAnsi="Times New Roman" w:cs="Times New Roman"/>
          <w:sz w:val="24"/>
          <w:szCs w:val="24"/>
        </w:rPr>
        <w:t>A comparison of hours spent on instruction can be seen in the chart below:</w:t>
      </w:r>
    </w:p>
    <w:p w14:paraId="7D363967" w14:textId="3D66C8A0" w:rsidR="008D3443" w:rsidRPr="000F0B33" w:rsidRDefault="00E705A7" w:rsidP="008B4CA3">
      <w:pPr>
        <w:spacing w:line="480" w:lineRule="auto"/>
        <w:ind w:firstLine="720"/>
        <w:jc w:val="center"/>
        <w:rPr>
          <w:b/>
          <w:color w:val="000000" w:themeColor="text1"/>
        </w:rPr>
      </w:pPr>
      <w:r w:rsidRPr="000F0B33">
        <w:rPr>
          <w:b/>
          <w:color w:val="000000" w:themeColor="text1"/>
        </w:rPr>
        <w:t>Hours of Instruction Yearly</w:t>
      </w:r>
      <w:r w:rsidR="00565D83">
        <w:rPr>
          <w:b/>
          <w:color w:val="000000" w:themeColor="text1"/>
        </w:rPr>
        <w:t xml:space="preserve"> (1987)</w:t>
      </w:r>
      <w:r w:rsidR="00904498">
        <w:rPr>
          <w:rStyle w:val="FootnoteReference"/>
          <w:b/>
          <w:color w:val="000000" w:themeColor="text1"/>
        </w:rPr>
        <w:footnoteReference w:id="18"/>
      </w:r>
    </w:p>
    <w:tbl>
      <w:tblPr>
        <w:tblStyle w:val="LightShading-Accent1"/>
        <w:tblW w:w="4980" w:type="pct"/>
        <w:tblLook w:val="0660" w:firstRow="1" w:lastRow="1" w:firstColumn="0" w:lastColumn="0" w:noHBand="1" w:noVBand="1"/>
      </w:tblPr>
      <w:tblGrid>
        <w:gridCol w:w="1977"/>
        <w:gridCol w:w="1470"/>
        <w:gridCol w:w="1469"/>
        <w:gridCol w:w="1469"/>
        <w:gridCol w:w="1469"/>
        <w:gridCol w:w="1469"/>
      </w:tblGrid>
      <w:tr w:rsidR="00147FB8" w:rsidRPr="00147FB8" w14:paraId="54688C5C" w14:textId="1CFD054F" w:rsidTr="00CE77F7">
        <w:trPr>
          <w:cnfStyle w:val="100000000000" w:firstRow="1" w:lastRow="0" w:firstColumn="0" w:lastColumn="0" w:oddVBand="0" w:evenVBand="0" w:oddHBand="0" w:evenHBand="0" w:firstRowFirstColumn="0" w:firstRowLastColumn="0" w:lastRowFirstColumn="0" w:lastRowLastColumn="0"/>
          <w:trHeight w:val="384"/>
        </w:trPr>
        <w:tc>
          <w:tcPr>
            <w:tcW w:w="1060" w:type="pct"/>
            <w:noWrap/>
          </w:tcPr>
          <w:p w14:paraId="24451A5B" w14:textId="682BA5CC" w:rsidR="00CE77F7" w:rsidRPr="00147FB8" w:rsidRDefault="00CE77F7">
            <w:pPr>
              <w:rPr>
                <w:rStyle w:val="SubtleEmphasis"/>
                <w:color w:val="000000" w:themeColor="text1"/>
              </w:rPr>
            </w:pPr>
            <w:r w:rsidRPr="00147FB8">
              <w:rPr>
                <w:rStyle w:val="SubtleEmphasis"/>
                <w:color w:val="000000" w:themeColor="text1"/>
              </w:rPr>
              <w:t>Province</w:t>
            </w:r>
          </w:p>
        </w:tc>
        <w:tc>
          <w:tcPr>
            <w:tcW w:w="788" w:type="pct"/>
          </w:tcPr>
          <w:p w14:paraId="0A10EB4E" w14:textId="3B3B4E13" w:rsidR="00CE77F7" w:rsidRPr="00147FB8" w:rsidRDefault="00CE77F7">
            <w:pPr>
              <w:rPr>
                <w:rStyle w:val="SubtleEmphasis"/>
                <w:color w:val="000000" w:themeColor="text1"/>
              </w:rPr>
            </w:pPr>
            <w:r w:rsidRPr="00147FB8">
              <w:rPr>
                <w:rStyle w:val="SubtleEmphasis"/>
                <w:color w:val="000000" w:themeColor="text1"/>
              </w:rPr>
              <w:t>K-3</w:t>
            </w:r>
          </w:p>
        </w:tc>
        <w:tc>
          <w:tcPr>
            <w:tcW w:w="788" w:type="pct"/>
          </w:tcPr>
          <w:p w14:paraId="461FC56F" w14:textId="3619701E" w:rsidR="00CE77F7" w:rsidRPr="00147FB8" w:rsidRDefault="00CE77F7">
            <w:pPr>
              <w:rPr>
                <w:rStyle w:val="SubtleEmphasis"/>
                <w:color w:val="000000" w:themeColor="text1"/>
              </w:rPr>
            </w:pPr>
            <w:r w:rsidRPr="00147FB8">
              <w:rPr>
                <w:rStyle w:val="SubtleEmphasis"/>
                <w:color w:val="000000" w:themeColor="text1"/>
              </w:rPr>
              <w:t>4-6</w:t>
            </w:r>
          </w:p>
        </w:tc>
        <w:tc>
          <w:tcPr>
            <w:tcW w:w="788" w:type="pct"/>
          </w:tcPr>
          <w:p w14:paraId="4BE612B5" w14:textId="5596CF52" w:rsidR="00CE77F7" w:rsidRPr="00147FB8" w:rsidRDefault="00CE77F7">
            <w:pPr>
              <w:rPr>
                <w:rStyle w:val="SubtleEmphasis"/>
                <w:color w:val="000000" w:themeColor="text1"/>
              </w:rPr>
            </w:pPr>
            <w:r w:rsidRPr="00147FB8">
              <w:rPr>
                <w:rStyle w:val="SubtleEmphasis"/>
                <w:color w:val="000000" w:themeColor="text1"/>
              </w:rPr>
              <w:t>7-8</w:t>
            </w:r>
          </w:p>
        </w:tc>
        <w:tc>
          <w:tcPr>
            <w:tcW w:w="788" w:type="pct"/>
          </w:tcPr>
          <w:p w14:paraId="5530E036" w14:textId="6CDA9534" w:rsidR="00CE77F7" w:rsidRPr="00147FB8" w:rsidRDefault="00CE77F7">
            <w:pPr>
              <w:rPr>
                <w:rStyle w:val="SubtleEmphasis"/>
                <w:color w:val="000000" w:themeColor="text1"/>
              </w:rPr>
            </w:pPr>
            <w:r w:rsidRPr="00147FB8">
              <w:rPr>
                <w:rStyle w:val="SubtleEmphasis"/>
                <w:color w:val="000000" w:themeColor="text1"/>
              </w:rPr>
              <w:t>9-10</w:t>
            </w:r>
          </w:p>
        </w:tc>
        <w:tc>
          <w:tcPr>
            <w:tcW w:w="788" w:type="pct"/>
          </w:tcPr>
          <w:p w14:paraId="62CD1922" w14:textId="799E8E2E" w:rsidR="00CE77F7" w:rsidRPr="00147FB8" w:rsidRDefault="00CE77F7">
            <w:pPr>
              <w:rPr>
                <w:rStyle w:val="SubtleEmphasis"/>
                <w:color w:val="000000" w:themeColor="text1"/>
              </w:rPr>
            </w:pPr>
            <w:r w:rsidRPr="00147FB8">
              <w:rPr>
                <w:rStyle w:val="SubtleEmphasis"/>
                <w:color w:val="000000" w:themeColor="text1"/>
              </w:rPr>
              <w:t>11-12</w:t>
            </w:r>
          </w:p>
        </w:tc>
      </w:tr>
      <w:tr w:rsidR="00147FB8" w:rsidRPr="00147FB8" w14:paraId="62CDFCC6" w14:textId="2547EABE" w:rsidTr="00CE77F7">
        <w:trPr>
          <w:trHeight w:val="384"/>
        </w:trPr>
        <w:tc>
          <w:tcPr>
            <w:tcW w:w="1060" w:type="pct"/>
            <w:noWrap/>
          </w:tcPr>
          <w:p w14:paraId="49DD80C2" w14:textId="77777777" w:rsidR="00CE77F7" w:rsidRPr="00147FB8" w:rsidRDefault="00CE77F7">
            <w:pPr>
              <w:rPr>
                <w:rStyle w:val="SubtleEmphasis"/>
                <w:color w:val="000000" w:themeColor="text1"/>
              </w:rPr>
            </w:pPr>
          </w:p>
        </w:tc>
        <w:tc>
          <w:tcPr>
            <w:tcW w:w="788" w:type="pct"/>
          </w:tcPr>
          <w:p w14:paraId="51A17C6D" w14:textId="199C6C84" w:rsidR="00CE77F7" w:rsidRPr="00147FB8" w:rsidRDefault="00CE77F7">
            <w:pPr>
              <w:rPr>
                <w:rStyle w:val="SubtleEmphasis"/>
                <w:color w:val="000000" w:themeColor="text1"/>
              </w:rPr>
            </w:pPr>
          </w:p>
        </w:tc>
        <w:tc>
          <w:tcPr>
            <w:tcW w:w="788" w:type="pct"/>
          </w:tcPr>
          <w:p w14:paraId="3B2F354B" w14:textId="77777777" w:rsidR="00CE77F7" w:rsidRPr="00147FB8" w:rsidRDefault="00CE77F7">
            <w:pPr>
              <w:rPr>
                <w:rStyle w:val="SubtleEmphasis"/>
                <w:color w:val="000000" w:themeColor="text1"/>
              </w:rPr>
            </w:pPr>
          </w:p>
        </w:tc>
        <w:tc>
          <w:tcPr>
            <w:tcW w:w="788" w:type="pct"/>
          </w:tcPr>
          <w:p w14:paraId="1D1C53F7" w14:textId="77777777" w:rsidR="00CE77F7" w:rsidRPr="00147FB8" w:rsidRDefault="00CE77F7">
            <w:pPr>
              <w:rPr>
                <w:rStyle w:val="SubtleEmphasis"/>
                <w:color w:val="000000" w:themeColor="text1"/>
              </w:rPr>
            </w:pPr>
          </w:p>
        </w:tc>
        <w:tc>
          <w:tcPr>
            <w:tcW w:w="788" w:type="pct"/>
          </w:tcPr>
          <w:p w14:paraId="16D754D8" w14:textId="77777777" w:rsidR="00CE77F7" w:rsidRPr="00147FB8" w:rsidRDefault="00CE77F7">
            <w:pPr>
              <w:rPr>
                <w:rStyle w:val="SubtleEmphasis"/>
                <w:color w:val="000000" w:themeColor="text1"/>
              </w:rPr>
            </w:pPr>
          </w:p>
        </w:tc>
        <w:tc>
          <w:tcPr>
            <w:tcW w:w="788" w:type="pct"/>
          </w:tcPr>
          <w:p w14:paraId="4A70222D" w14:textId="77777777" w:rsidR="00CE77F7" w:rsidRPr="00147FB8" w:rsidRDefault="00CE77F7">
            <w:pPr>
              <w:rPr>
                <w:rStyle w:val="SubtleEmphasis"/>
                <w:color w:val="000000" w:themeColor="text1"/>
              </w:rPr>
            </w:pPr>
          </w:p>
        </w:tc>
      </w:tr>
      <w:tr w:rsidR="00147FB8" w:rsidRPr="00147FB8" w14:paraId="652239F9" w14:textId="608A4B1B" w:rsidTr="00CE77F7">
        <w:trPr>
          <w:trHeight w:val="733"/>
        </w:trPr>
        <w:tc>
          <w:tcPr>
            <w:tcW w:w="1060" w:type="pct"/>
            <w:noWrap/>
          </w:tcPr>
          <w:p w14:paraId="1367342A" w14:textId="0F6A4BEF" w:rsidR="00CE77F7" w:rsidRPr="00147FB8" w:rsidRDefault="00CE77F7">
            <w:pPr>
              <w:rPr>
                <w:rStyle w:val="SubtleEmphasis"/>
                <w:color w:val="000000" w:themeColor="text1"/>
              </w:rPr>
            </w:pPr>
            <w:r w:rsidRPr="00147FB8">
              <w:rPr>
                <w:rStyle w:val="SubtleEmphasis"/>
                <w:color w:val="000000" w:themeColor="text1"/>
              </w:rPr>
              <w:t xml:space="preserve">Ontario (Public) </w:t>
            </w:r>
          </w:p>
        </w:tc>
        <w:tc>
          <w:tcPr>
            <w:tcW w:w="788" w:type="pct"/>
          </w:tcPr>
          <w:p w14:paraId="7948E8E0" w14:textId="6FF16185" w:rsidR="00CE77F7" w:rsidRPr="00147FB8" w:rsidRDefault="00E705A7">
            <w:pPr>
              <w:pStyle w:val="DecimalAligned"/>
              <w:rPr>
                <w:rStyle w:val="SubtleEmphasis"/>
                <w:color w:val="000000" w:themeColor="text1"/>
              </w:rPr>
            </w:pPr>
            <w:r w:rsidRPr="00147FB8">
              <w:rPr>
                <w:rStyle w:val="SubtleEmphasis"/>
                <w:color w:val="000000" w:themeColor="text1"/>
              </w:rPr>
              <w:t>0.5-9</w:t>
            </w:r>
            <w:r w:rsidR="000F2EE8">
              <w:rPr>
                <w:rStyle w:val="SubtleEmphasis"/>
                <w:color w:val="000000" w:themeColor="text1"/>
              </w:rPr>
              <w:t xml:space="preserve">0 </w:t>
            </w:r>
          </w:p>
        </w:tc>
        <w:tc>
          <w:tcPr>
            <w:tcW w:w="788" w:type="pct"/>
          </w:tcPr>
          <w:p w14:paraId="7D1ACD5C" w14:textId="619EF329" w:rsidR="00CE77F7" w:rsidRPr="00147FB8" w:rsidRDefault="00D85693">
            <w:pPr>
              <w:pStyle w:val="DecimalAligned"/>
              <w:rPr>
                <w:rStyle w:val="SubtleEmphasis"/>
                <w:color w:val="000000" w:themeColor="text1"/>
              </w:rPr>
            </w:pPr>
            <w:r w:rsidRPr="00147FB8">
              <w:rPr>
                <w:rStyle w:val="SubtleEmphasis"/>
                <w:color w:val="000000" w:themeColor="text1"/>
              </w:rPr>
              <w:t>1-90</w:t>
            </w:r>
            <w:r w:rsidR="000F2EE8">
              <w:rPr>
                <w:rStyle w:val="SubtleEmphasis"/>
                <w:color w:val="000000" w:themeColor="text1"/>
              </w:rPr>
              <w:t xml:space="preserve"> </w:t>
            </w:r>
          </w:p>
        </w:tc>
        <w:tc>
          <w:tcPr>
            <w:tcW w:w="788" w:type="pct"/>
          </w:tcPr>
          <w:p w14:paraId="08454985" w14:textId="7A9B5882" w:rsidR="00CE77F7" w:rsidRPr="00147FB8" w:rsidRDefault="00D85693">
            <w:pPr>
              <w:pStyle w:val="DecimalAligned"/>
              <w:rPr>
                <w:rStyle w:val="SubtleEmphasis"/>
                <w:color w:val="000000" w:themeColor="text1"/>
              </w:rPr>
            </w:pPr>
            <w:r w:rsidRPr="00147FB8">
              <w:rPr>
                <w:rStyle w:val="SubtleEmphasis"/>
                <w:color w:val="000000" w:themeColor="text1"/>
              </w:rPr>
              <w:t>2-30</w:t>
            </w:r>
            <w:r w:rsidR="000F2EE8">
              <w:rPr>
                <w:rStyle w:val="SubtleEmphasis"/>
                <w:color w:val="000000" w:themeColor="text1"/>
              </w:rPr>
              <w:t xml:space="preserve"> </w:t>
            </w:r>
          </w:p>
        </w:tc>
        <w:tc>
          <w:tcPr>
            <w:tcW w:w="788" w:type="pct"/>
          </w:tcPr>
          <w:p w14:paraId="393E6D29" w14:textId="03B6EB73" w:rsidR="00CE77F7" w:rsidRPr="00147FB8" w:rsidRDefault="00D85693">
            <w:pPr>
              <w:pStyle w:val="DecimalAligned"/>
              <w:rPr>
                <w:rStyle w:val="SubtleEmphasis"/>
                <w:color w:val="000000" w:themeColor="text1"/>
              </w:rPr>
            </w:pPr>
            <w:r w:rsidRPr="00147FB8">
              <w:rPr>
                <w:rStyle w:val="SubtleEmphasis"/>
                <w:color w:val="000000" w:themeColor="text1"/>
              </w:rPr>
              <w:t>3-30</w:t>
            </w:r>
          </w:p>
        </w:tc>
        <w:tc>
          <w:tcPr>
            <w:tcW w:w="788" w:type="pct"/>
          </w:tcPr>
          <w:p w14:paraId="415FF355" w14:textId="5016804E" w:rsidR="00CE77F7" w:rsidRPr="00147FB8" w:rsidRDefault="00D85693">
            <w:pPr>
              <w:pStyle w:val="DecimalAligned"/>
              <w:rPr>
                <w:rStyle w:val="SubtleEmphasis"/>
                <w:color w:val="000000" w:themeColor="text1"/>
              </w:rPr>
            </w:pPr>
            <w:r w:rsidRPr="00147FB8">
              <w:rPr>
                <w:rStyle w:val="SubtleEmphasis"/>
                <w:color w:val="000000" w:themeColor="text1"/>
              </w:rPr>
              <w:t>6-20</w:t>
            </w:r>
          </w:p>
        </w:tc>
      </w:tr>
      <w:tr w:rsidR="00147FB8" w:rsidRPr="00147FB8" w14:paraId="4FFA44E1" w14:textId="75D1A2D7" w:rsidTr="00CE77F7">
        <w:trPr>
          <w:cnfStyle w:val="010000000000" w:firstRow="0" w:lastRow="1" w:firstColumn="0" w:lastColumn="0" w:oddVBand="0" w:evenVBand="0" w:oddHBand="0" w:evenHBand="0" w:firstRowFirstColumn="0" w:firstRowLastColumn="0" w:lastRowFirstColumn="0" w:lastRowLastColumn="0"/>
          <w:trHeight w:val="751"/>
        </w:trPr>
        <w:tc>
          <w:tcPr>
            <w:tcW w:w="1060" w:type="pct"/>
            <w:noWrap/>
          </w:tcPr>
          <w:p w14:paraId="6D16EA4F" w14:textId="4948D794" w:rsidR="00CE77F7" w:rsidRPr="00053084" w:rsidRDefault="00CE77F7">
            <w:pPr>
              <w:rPr>
                <w:rStyle w:val="SubtleEmphasis"/>
                <w:b w:val="0"/>
                <w:color w:val="000000" w:themeColor="text1"/>
              </w:rPr>
            </w:pPr>
            <w:r w:rsidRPr="00053084">
              <w:rPr>
                <w:rStyle w:val="SubtleEmphasis"/>
                <w:b w:val="0"/>
                <w:color w:val="000000" w:themeColor="text1"/>
              </w:rPr>
              <w:t>Ontario (</w:t>
            </w:r>
            <w:r w:rsidR="00F5669F">
              <w:rPr>
                <w:rStyle w:val="SubtleEmphasis"/>
                <w:b w:val="0"/>
                <w:color w:val="000000" w:themeColor="text1"/>
              </w:rPr>
              <w:t>Separate)</w:t>
            </w:r>
            <w:r w:rsidRPr="00053084">
              <w:rPr>
                <w:rStyle w:val="SubtleEmphasis"/>
                <w:b w:val="0"/>
                <w:color w:val="000000" w:themeColor="text1"/>
              </w:rPr>
              <w:t>)</w:t>
            </w:r>
          </w:p>
        </w:tc>
        <w:tc>
          <w:tcPr>
            <w:tcW w:w="788" w:type="pct"/>
          </w:tcPr>
          <w:p w14:paraId="2327C546" w14:textId="38F39724" w:rsidR="00CE77F7" w:rsidRPr="00053084" w:rsidRDefault="00D85693">
            <w:pPr>
              <w:pStyle w:val="DecimalAligned"/>
              <w:rPr>
                <w:rStyle w:val="SubtleEmphasis"/>
                <w:b w:val="0"/>
                <w:color w:val="000000" w:themeColor="text1"/>
              </w:rPr>
            </w:pPr>
            <w:r w:rsidRPr="00053084">
              <w:rPr>
                <w:rStyle w:val="SubtleEmphasis"/>
                <w:b w:val="0"/>
                <w:color w:val="000000" w:themeColor="text1"/>
              </w:rPr>
              <w:t>0.5-30</w:t>
            </w:r>
          </w:p>
        </w:tc>
        <w:tc>
          <w:tcPr>
            <w:tcW w:w="788" w:type="pct"/>
          </w:tcPr>
          <w:p w14:paraId="47C7C98C" w14:textId="365C4947" w:rsidR="00CE77F7" w:rsidRPr="00053084" w:rsidRDefault="00D07F79">
            <w:pPr>
              <w:pStyle w:val="DecimalAligned"/>
              <w:rPr>
                <w:rStyle w:val="SubtleEmphasis"/>
                <w:b w:val="0"/>
                <w:color w:val="000000" w:themeColor="text1"/>
              </w:rPr>
            </w:pPr>
            <w:r w:rsidRPr="00053084">
              <w:rPr>
                <w:rStyle w:val="SubtleEmphasis"/>
                <w:b w:val="0"/>
                <w:color w:val="000000" w:themeColor="text1"/>
              </w:rPr>
              <w:t>0.5-40</w:t>
            </w:r>
          </w:p>
        </w:tc>
        <w:tc>
          <w:tcPr>
            <w:tcW w:w="788" w:type="pct"/>
          </w:tcPr>
          <w:p w14:paraId="568BE5C3" w14:textId="325F3388" w:rsidR="00CE77F7" w:rsidRPr="00053084" w:rsidRDefault="00D07F79">
            <w:pPr>
              <w:pStyle w:val="DecimalAligned"/>
              <w:rPr>
                <w:rStyle w:val="SubtleEmphasis"/>
                <w:b w:val="0"/>
                <w:color w:val="000000" w:themeColor="text1"/>
              </w:rPr>
            </w:pPr>
            <w:r w:rsidRPr="00053084">
              <w:rPr>
                <w:rStyle w:val="SubtleEmphasis"/>
                <w:b w:val="0"/>
                <w:color w:val="000000" w:themeColor="text1"/>
              </w:rPr>
              <w:t>4-40</w:t>
            </w:r>
          </w:p>
        </w:tc>
        <w:tc>
          <w:tcPr>
            <w:tcW w:w="788" w:type="pct"/>
          </w:tcPr>
          <w:p w14:paraId="60CBA0DF" w14:textId="5E71999E" w:rsidR="00CE77F7" w:rsidRPr="00053084" w:rsidRDefault="00D07F79">
            <w:pPr>
              <w:pStyle w:val="DecimalAligned"/>
              <w:rPr>
                <w:rStyle w:val="SubtleEmphasis"/>
                <w:b w:val="0"/>
                <w:color w:val="000000" w:themeColor="text1"/>
              </w:rPr>
            </w:pPr>
            <w:r w:rsidRPr="00053084">
              <w:rPr>
                <w:rStyle w:val="SubtleEmphasis"/>
                <w:b w:val="0"/>
                <w:color w:val="000000" w:themeColor="text1"/>
              </w:rPr>
              <w:t>5-110</w:t>
            </w:r>
          </w:p>
        </w:tc>
        <w:tc>
          <w:tcPr>
            <w:tcW w:w="788" w:type="pct"/>
          </w:tcPr>
          <w:p w14:paraId="27B12A18" w14:textId="3C017F89" w:rsidR="00CE77F7" w:rsidRPr="00053084" w:rsidRDefault="00D07F79">
            <w:pPr>
              <w:pStyle w:val="DecimalAligned"/>
              <w:rPr>
                <w:rStyle w:val="SubtleEmphasis"/>
                <w:b w:val="0"/>
                <w:color w:val="000000" w:themeColor="text1"/>
              </w:rPr>
            </w:pPr>
            <w:r w:rsidRPr="00053084">
              <w:rPr>
                <w:rStyle w:val="SubtleEmphasis"/>
                <w:b w:val="0"/>
                <w:color w:val="000000" w:themeColor="text1"/>
              </w:rPr>
              <w:t>5-115</w:t>
            </w:r>
          </w:p>
        </w:tc>
      </w:tr>
    </w:tbl>
    <w:p w14:paraId="7DFEC8DC" w14:textId="3CCF74C9" w:rsidR="00610CB8" w:rsidRDefault="00DE7DA0" w:rsidP="00DF59F4">
      <w:pPr>
        <w:tabs>
          <w:tab w:val="left" w:pos="3168"/>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 disparity in hours spent teaching can be related to </w:t>
      </w:r>
      <w:r w:rsidR="006720E2">
        <w:rPr>
          <w:rFonts w:ascii="Times New Roman" w:hAnsi="Times New Roman" w:cs="Times New Roman"/>
          <w:sz w:val="24"/>
          <w:szCs w:val="24"/>
        </w:rPr>
        <w:t>how the school board measures time spent instructing</w:t>
      </w:r>
      <w:r w:rsidR="00556476">
        <w:rPr>
          <w:rFonts w:ascii="Times New Roman" w:hAnsi="Times New Roman" w:cs="Times New Roman"/>
          <w:sz w:val="24"/>
          <w:szCs w:val="24"/>
        </w:rPr>
        <w:t>: if incorporated into another course</w:t>
      </w:r>
      <w:r w:rsidR="00EF4D63">
        <w:rPr>
          <w:rFonts w:ascii="Times New Roman" w:hAnsi="Times New Roman" w:cs="Times New Roman"/>
          <w:sz w:val="24"/>
          <w:szCs w:val="24"/>
        </w:rPr>
        <w:t>,</w:t>
      </w:r>
      <w:r w:rsidR="00311619">
        <w:rPr>
          <w:rFonts w:ascii="Times New Roman" w:hAnsi="Times New Roman" w:cs="Times New Roman"/>
          <w:sz w:val="24"/>
          <w:szCs w:val="24"/>
        </w:rPr>
        <w:t xml:space="preserve"> </w:t>
      </w:r>
      <w:r w:rsidR="003A0E90">
        <w:rPr>
          <w:rFonts w:ascii="Times New Roman" w:hAnsi="Times New Roman" w:cs="Times New Roman"/>
          <w:sz w:val="24"/>
          <w:szCs w:val="24"/>
        </w:rPr>
        <w:t>did they count all hours spent on the whole course or the hours spent on just sex ed</w:t>
      </w:r>
      <w:r w:rsidR="007C04D0">
        <w:rPr>
          <w:rFonts w:ascii="Times New Roman" w:hAnsi="Times New Roman" w:cs="Times New Roman"/>
          <w:sz w:val="24"/>
          <w:szCs w:val="24"/>
        </w:rPr>
        <w:t>?</w:t>
      </w:r>
      <w:r w:rsidR="00372F81">
        <w:rPr>
          <w:rFonts w:ascii="Times New Roman" w:hAnsi="Times New Roman" w:cs="Times New Roman"/>
          <w:sz w:val="24"/>
          <w:szCs w:val="24"/>
        </w:rPr>
        <w:t xml:space="preserve"> </w:t>
      </w:r>
      <w:r w:rsidR="00980C1F">
        <w:rPr>
          <w:rFonts w:ascii="Times New Roman" w:hAnsi="Times New Roman" w:cs="Times New Roman"/>
          <w:sz w:val="24"/>
          <w:szCs w:val="24"/>
        </w:rPr>
        <w:t>Sex education also varied on how it was incorporated or discussed in class:</w:t>
      </w:r>
      <w:r w:rsidR="00176D50">
        <w:rPr>
          <w:rFonts w:ascii="Times New Roman" w:hAnsi="Times New Roman" w:cs="Times New Roman"/>
          <w:sz w:val="24"/>
          <w:szCs w:val="24"/>
        </w:rPr>
        <w:t xml:space="preserve"> “very seldom are students taught merely the bald biological facts of life</w:t>
      </w:r>
      <w:r w:rsidR="00065C4B">
        <w:rPr>
          <w:rFonts w:ascii="Times New Roman" w:hAnsi="Times New Roman" w:cs="Times New Roman"/>
          <w:sz w:val="24"/>
          <w:szCs w:val="24"/>
        </w:rPr>
        <w:t>”</w:t>
      </w:r>
      <w:r w:rsidR="00065C4B">
        <w:rPr>
          <w:rStyle w:val="FootnoteReference"/>
          <w:rFonts w:ascii="Times New Roman" w:hAnsi="Times New Roman" w:cs="Times New Roman"/>
          <w:sz w:val="24"/>
          <w:szCs w:val="24"/>
        </w:rPr>
        <w:footnoteReference w:id="19"/>
      </w:r>
      <w:r w:rsidR="003B22C9">
        <w:rPr>
          <w:rFonts w:ascii="Times New Roman" w:hAnsi="Times New Roman" w:cs="Times New Roman"/>
          <w:sz w:val="24"/>
          <w:szCs w:val="24"/>
        </w:rPr>
        <w:t>. Because of this it could have been taug</w:t>
      </w:r>
      <w:r w:rsidR="00EE171E">
        <w:rPr>
          <w:rFonts w:ascii="Times New Roman" w:hAnsi="Times New Roman" w:cs="Times New Roman"/>
          <w:sz w:val="24"/>
          <w:szCs w:val="24"/>
        </w:rPr>
        <w:t xml:space="preserve">ht in </w:t>
      </w:r>
      <w:r w:rsidR="00AB323B">
        <w:rPr>
          <w:rFonts w:ascii="Times New Roman" w:hAnsi="Times New Roman" w:cs="Times New Roman"/>
          <w:sz w:val="24"/>
          <w:szCs w:val="24"/>
        </w:rPr>
        <w:t xml:space="preserve">a </w:t>
      </w:r>
      <w:r w:rsidR="00EE171E">
        <w:rPr>
          <w:rFonts w:ascii="Times New Roman" w:hAnsi="Times New Roman" w:cs="Times New Roman"/>
          <w:sz w:val="24"/>
          <w:szCs w:val="24"/>
        </w:rPr>
        <w:t>Health or Religion course, if it was taught in a health course it would only be one topic on top of others such as drug and alcohol use, proper diet, and physical fitness. If it was included in a religion class, students would learn about feelings and dating related to ethics and religious values</w:t>
      </w:r>
      <w:r w:rsidR="00EE171E">
        <w:rPr>
          <w:rStyle w:val="FootnoteReference"/>
          <w:rFonts w:ascii="Times New Roman" w:hAnsi="Times New Roman" w:cs="Times New Roman"/>
          <w:sz w:val="24"/>
          <w:szCs w:val="24"/>
        </w:rPr>
        <w:footnoteReference w:id="20"/>
      </w:r>
      <w:r w:rsidR="00EE171E">
        <w:rPr>
          <w:rFonts w:ascii="Times New Roman" w:hAnsi="Times New Roman" w:cs="Times New Roman"/>
          <w:sz w:val="24"/>
          <w:szCs w:val="24"/>
        </w:rPr>
        <w:t>.</w:t>
      </w:r>
      <w:r w:rsidR="00040D51">
        <w:rPr>
          <w:rFonts w:ascii="Times New Roman" w:hAnsi="Times New Roman" w:cs="Times New Roman"/>
          <w:sz w:val="24"/>
          <w:szCs w:val="24"/>
        </w:rPr>
        <w:t xml:space="preserve"> This means the content and discussion around the same subject would change depending on what class the student was taking. </w:t>
      </w:r>
      <w:r w:rsidR="0032401E">
        <w:rPr>
          <w:rFonts w:ascii="Times New Roman" w:hAnsi="Times New Roman" w:cs="Times New Roman"/>
          <w:sz w:val="24"/>
          <w:szCs w:val="24"/>
        </w:rPr>
        <w:t>Schools were not all public either, and many of which were private</w:t>
      </w:r>
      <w:r w:rsidR="009779F4">
        <w:rPr>
          <w:rFonts w:ascii="Times New Roman" w:hAnsi="Times New Roman" w:cs="Times New Roman"/>
          <w:sz w:val="24"/>
          <w:szCs w:val="24"/>
        </w:rPr>
        <w:t xml:space="preserve"> (part of the separate s</w:t>
      </w:r>
      <w:r w:rsidR="00205EED">
        <w:rPr>
          <w:rFonts w:ascii="Times New Roman" w:hAnsi="Times New Roman" w:cs="Times New Roman"/>
          <w:sz w:val="24"/>
          <w:szCs w:val="24"/>
        </w:rPr>
        <w:t>chool boards) w</w:t>
      </w:r>
      <w:r w:rsidR="0032401E">
        <w:rPr>
          <w:rFonts w:ascii="Times New Roman" w:hAnsi="Times New Roman" w:cs="Times New Roman"/>
          <w:sz w:val="24"/>
          <w:szCs w:val="24"/>
        </w:rPr>
        <w:t xml:space="preserve">ere </w:t>
      </w:r>
      <w:r w:rsidR="006A7EC8">
        <w:rPr>
          <w:rFonts w:ascii="Times New Roman" w:hAnsi="Times New Roman" w:cs="Times New Roman"/>
          <w:sz w:val="24"/>
          <w:szCs w:val="24"/>
        </w:rPr>
        <w:t xml:space="preserve">religiously founded </w:t>
      </w:r>
      <w:r w:rsidR="007965D7">
        <w:rPr>
          <w:rFonts w:ascii="Times New Roman" w:hAnsi="Times New Roman" w:cs="Times New Roman"/>
          <w:sz w:val="24"/>
          <w:szCs w:val="24"/>
        </w:rPr>
        <w:t>actively practicing religion and thus embodying the values.</w:t>
      </w:r>
      <w:r w:rsidR="00775D6A">
        <w:rPr>
          <w:rFonts w:ascii="Times New Roman" w:hAnsi="Times New Roman" w:cs="Times New Roman"/>
          <w:sz w:val="24"/>
          <w:szCs w:val="24"/>
        </w:rPr>
        <w:t xml:space="preserve"> </w:t>
      </w:r>
      <w:r w:rsidR="00303270">
        <w:rPr>
          <w:rFonts w:ascii="Times New Roman" w:hAnsi="Times New Roman" w:cs="Times New Roman"/>
          <w:sz w:val="24"/>
          <w:szCs w:val="24"/>
        </w:rPr>
        <w:t>Of t</w:t>
      </w:r>
      <w:r w:rsidR="00775D6A">
        <w:rPr>
          <w:rFonts w:ascii="Times New Roman" w:hAnsi="Times New Roman" w:cs="Times New Roman"/>
          <w:sz w:val="24"/>
          <w:szCs w:val="24"/>
        </w:rPr>
        <w:t>he school</w:t>
      </w:r>
      <w:r w:rsidR="00592C17">
        <w:rPr>
          <w:rFonts w:ascii="Times New Roman" w:hAnsi="Times New Roman" w:cs="Times New Roman"/>
          <w:sz w:val="24"/>
          <w:szCs w:val="24"/>
        </w:rPr>
        <w:t xml:space="preserve"> boards</w:t>
      </w:r>
      <w:r w:rsidR="00775D6A">
        <w:rPr>
          <w:rFonts w:ascii="Times New Roman" w:hAnsi="Times New Roman" w:cs="Times New Roman"/>
          <w:sz w:val="24"/>
          <w:szCs w:val="24"/>
        </w:rPr>
        <w:t xml:space="preserve"> which did have guidelines for sex education</w:t>
      </w:r>
      <w:r w:rsidR="00592C17">
        <w:rPr>
          <w:rFonts w:ascii="Times New Roman" w:hAnsi="Times New Roman" w:cs="Times New Roman"/>
          <w:sz w:val="24"/>
          <w:szCs w:val="24"/>
        </w:rPr>
        <w:t xml:space="preserve"> (72%)</w:t>
      </w:r>
      <w:r w:rsidR="00303270">
        <w:rPr>
          <w:rFonts w:ascii="Times New Roman" w:hAnsi="Times New Roman" w:cs="Times New Roman"/>
          <w:sz w:val="24"/>
          <w:szCs w:val="24"/>
        </w:rPr>
        <w:t>,</w:t>
      </w:r>
      <w:r w:rsidR="00592C17">
        <w:rPr>
          <w:rFonts w:ascii="Times New Roman" w:hAnsi="Times New Roman" w:cs="Times New Roman"/>
          <w:sz w:val="24"/>
          <w:szCs w:val="24"/>
        </w:rPr>
        <w:t xml:space="preserve"> commonly called </w:t>
      </w:r>
      <w:r w:rsidR="00C9291C">
        <w:rPr>
          <w:rFonts w:ascii="Times New Roman" w:hAnsi="Times New Roman" w:cs="Times New Roman"/>
          <w:sz w:val="24"/>
          <w:szCs w:val="24"/>
        </w:rPr>
        <w:t>H</w:t>
      </w:r>
      <w:r w:rsidR="00592C17">
        <w:rPr>
          <w:rFonts w:ascii="Times New Roman" w:hAnsi="Times New Roman" w:cs="Times New Roman"/>
          <w:sz w:val="24"/>
          <w:szCs w:val="24"/>
        </w:rPr>
        <w:t xml:space="preserve">uman </w:t>
      </w:r>
      <w:r w:rsidR="00C9291C">
        <w:rPr>
          <w:rFonts w:ascii="Times New Roman" w:hAnsi="Times New Roman" w:cs="Times New Roman"/>
          <w:sz w:val="24"/>
          <w:szCs w:val="24"/>
        </w:rPr>
        <w:t>G</w:t>
      </w:r>
      <w:r w:rsidR="00592C17">
        <w:rPr>
          <w:rFonts w:ascii="Times New Roman" w:hAnsi="Times New Roman" w:cs="Times New Roman"/>
          <w:sz w:val="24"/>
          <w:szCs w:val="24"/>
        </w:rPr>
        <w:t xml:space="preserve">rowth and </w:t>
      </w:r>
      <w:r w:rsidR="00C9291C">
        <w:rPr>
          <w:rFonts w:ascii="Times New Roman" w:hAnsi="Times New Roman" w:cs="Times New Roman"/>
          <w:sz w:val="24"/>
          <w:szCs w:val="24"/>
        </w:rPr>
        <w:t>D</w:t>
      </w:r>
      <w:r w:rsidR="00592C17">
        <w:rPr>
          <w:rFonts w:ascii="Times New Roman" w:hAnsi="Times New Roman" w:cs="Times New Roman"/>
          <w:sz w:val="24"/>
          <w:szCs w:val="24"/>
        </w:rPr>
        <w:t xml:space="preserve">evelopment </w:t>
      </w:r>
      <w:r w:rsidR="00C9291C">
        <w:rPr>
          <w:rFonts w:ascii="Times New Roman" w:hAnsi="Times New Roman" w:cs="Times New Roman"/>
          <w:sz w:val="24"/>
          <w:szCs w:val="24"/>
        </w:rPr>
        <w:t>had been created locall</w:t>
      </w:r>
      <w:r w:rsidR="006F45A6">
        <w:rPr>
          <w:rFonts w:ascii="Times New Roman" w:hAnsi="Times New Roman" w:cs="Times New Roman"/>
          <w:sz w:val="24"/>
          <w:szCs w:val="24"/>
        </w:rPr>
        <w:t xml:space="preserve">y and only 50% of those public boards had written policy </w:t>
      </w:r>
      <w:r w:rsidR="002F56E0">
        <w:rPr>
          <w:rFonts w:ascii="Times New Roman" w:hAnsi="Times New Roman" w:cs="Times New Roman"/>
          <w:sz w:val="24"/>
          <w:szCs w:val="24"/>
        </w:rPr>
        <w:t>regarding the content and instruction of this course</w:t>
      </w:r>
      <w:r w:rsidR="002F56E0">
        <w:rPr>
          <w:rStyle w:val="FootnoteReference"/>
          <w:rFonts w:ascii="Times New Roman" w:hAnsi="Times New Roman" w:cs="Times New Roman"/>
          <w:sz w:val="24"/>
          <w:szCs w:val="24"/>
        </w:rPr>
        <w:footnoteReference w:id="21"/>
      </w:r>
      <w:r w:rsidR="002F56E0">
        <w:rPr>
          <w:rFonts w:ascii="Times New Roman" w:hAnsi="Times New Roman" w:cs="Times New Roman"/>
          <w:sz w:val="24"/>
          <w:szCs w:val="24"/>
        </w:rPr>
        <w:t xml:space="preserve">. </w:t>
      </w:r>
      <w:r w:rsidR="006F50AF">
        <w:rPr>
          <w:rFonts w:ascii="Times New Roman" w:hAnsi="Times New Roman" w:cs="Times New Roman"/>
          <w:sz w:val="24"/>
          <w:szCs w:val="24"/>
        </w:rPr>
        <w:t>This lack of direction left schools to choose how they would tackle the subject m</w:t>
      </w:r>
      <w:r w:rsidR="00325EE2">
        <w:rPr>
          <w:rFonts w:ascii="Times New Roman" w:hAnsi="Times New Roman" w:cs="Times New Roman"/>
          <w:sz w:val="24"/>
          <w:szCs w:val="24"/>
        </w:rPr>
        <w:t>att</w:t>
      </w:r>
      <w:r w:rsidR="006F50AF">
        <w:rPr>
          <w:rFonts w:ascii="Times New Roman" w:hAnsi="Times New Roman" w:cs="Times New Roman"/>
          <w:sz w:val="24"/>
          <w:szCs w:val="24"/>
        </w:rPr>
        <w:t>er if they</w:t>
      </w:r>
      <w:r w:rsidR="00325EE2">
        <w:rPr>
          <w:rFonts w:ascii="Times New Roman" w:hAnsi="Times New Roman" w:cs="Times New Roman"/>
          <w:sz w:val="24"/>
          <w:szCs w:val="24"/>
        </w:rPr>
        <w:t xml:space="preserve"> even had a guideline</w:t>
      </w:r>
      <w:r w:rsidR="00D37BE3">
        <w:rPr>
          <w:rFonts w:ascii="Times New Roman" w:hAnsi="Times New Roman" w:cs="Times New Roman"/>
          <w:sz w:val="24"/>
          <w:szCs w:val="24"/>
        </w:rPr>
        <w:t>,</w:t>
      </w:r>
      <w:r w:rsidR="00325EE2">
        <w:rPr>
          <w:rFonts w:ascii="Times New Roman" w:hAnsi="Times New Roman" w:cs="Times New Roman"/>
          <w:sz w:val="24"/>
          <w:szCs w:val="24"/>
        </w:rPr>
        <w:t xml:space="preserve"> </w:t>
      </w:r>
      <w:r w:rsidR="0043527D">
        <w:rPr>
          <w:rFonts w:ascii="Times New Roman" w:hAnsi="Times New Roman" w:cs="Times New Roman"/>
          <w:sz w:val="24"/>
          <w:szCs w:val="24"/>
        </w:rPr>
        <w:t>this</w:t>
      </w:r>
      <w:r w:rsidR="00325EE2">
        <w:rPr>
          <w:rFonts w:ascii="Times New Roman" w:hAnsi="Times New Roman" w:cs="Times New Roman"/>
          <w:sz w:val="24"/>
          <w:szCs w:val="24"/>
        </w:rPr>
        <w:t xml:space="preserve"> caused major variance in the level of education that the students were receiving. </w:t>
      </w:r>
      <w:r w:rsidR="00C85869">
        <w:rPr>
          <w:rFonts w:ascii="Times New Roman" w:hAnsi="Times New Roman" w:cs="Times New Roman"/>
          <w:sz w:val="24"/>
          <w:szCs w:val="24"/>
        </w:rPr>
        <w:t>Sources used for creating guidelines by school boards varied: some used the Ontario Ministry curriculum, others borrowed from other school board</w:t>
      </w:r>
      <w:r w:rsidR="00B04D6C">
        <w:rPr>
          <w:rFonts w:ascii="Times New Roman" w:hAnsi="Times New Roman" w:cs="Times New Roman"/>
          <w:sz w:val="24"/>
          <w:szCs w:val="24"/>
        </w:rPr>
        <w:t>s, libraries, local resource</w:t>
      </w:r>
      <w:r w:rsidR="001A7001">
        <w:rPr>
          <w:rFonts w:ascii="Times New Roman" w:hAnsi="Times New Roman" w:cs="Times New Roman"/>
          <w:sz w:val="24"/>
          <w:szCs w:val="24"/>
        </w:rPr>
        <w:t xml:space="preserve"> persons, etc. Multiple separate school boards created their own Family Life Education sponsored by </w:t>
      </w:r>
      <w:r w:rsidR="002F0A90">
        <w:rPr>
          <w:rFonts w:ascii="Times New Roman" w:hAnsi="Times New Roman" w:cs="Times New Roman"/>
          <w:sz w:val="24"/>
          <w:szCs w:val="24"/>
        </w:rPr>
        <w:t>the Ontario Conference of Catholic Bishops</w:t>
      </w:r>
      <w:r w:rsidR="00E5608F">
        <w:rPr>
          <w:rFonts w:ascii="Times New Roman" w:hAnsi="Times New Roman" w:cs="Times New Roman"/>
          <w:sz w:val="24"/>
          <w:szCs w:val="24"/>
        </w:rPr>
        <w:t xml:space="preserve"> and others used church documents and secular resource materials “where appropriate”</w:t>
      </w:r>
      <w:r w:rsidR="00B858A9">
        <w:rPr>
          <w:rStyle w:val="FootnoteReference"/>
          <w:rFonts w:ascii="Times New Roman" w:hAnsi="Times New Roman" w:cs="Times New Roman"/>
          <w:sz w:val="24"/>
          <w:szCs w:val="24"/>
        </w:rPr>
        <w:footnoteReference w:id="22"/>
      </w:r>
      <w:r w:rsidR="00B858A9">
        <w:rPr>
          <w:rFonts w:ascii="Times New Roman" w:hAnsi="Times New Roman" w:cs="Times New Roman"/>
          <w:sz w:val="24"/>
          <w:szCs w:val="24"/>
        </w:rPr>
        <w:t>. Religious influence ha</w:t>
      </w:r>
      <w:r w:rsidR="00F620BB">
        <w:rPr>
          <w:rFonts w:ascii="Times New Roman" w:hAnsi="Times New Roman" w:cs="Times New Roman"/>
          <w:sz w:val="24"/>
          <w:szCs w:val="24"/>
        </w:rPr>
        <w:t xml:space="preserve">d </w:t>
      </w:r>
      <w:r w:rsidR="00B858A9">
        <w:rPr>
          <w:rFonts w:ascii="Times New Roman" w:hAnsi="Times New Roman" w:cs="Times New Roman"/>
          <w:sz w:val="24"/>
          <w:szCs w:val="24"/>
        </w:rPr>
        <w:t xml:space="preserve">a major hindrance on </w:t>
      </w:r>
      <w:r w:rsidR="00FF503C">
        <w:rPr>
          <w:rFonts w:ascii="Times New Roman" w:hAnsi="Times New Roman" w:cs="Times New Roman"/>
          <w:sz w:val="24"/>
          <w:szCs w:val="24"/>
        </w:rPr>
        <w:t xml:space="preserve">consistency of sexual health </w:t>
      </w:r>
      <w:r w:rsidR="00FF503C">
        <w:rPr>
          <w:rFonts w:ascii="Times New Roman" w:hAnsi="Times New Roman" w:cs="Times New Roman"/>
          <w:sz w:val="24"/>
          <w:szCs w:val="24"/>
        </w:rPr>
        <w:lastRenderedPageBreak/>
        <w:t>curriculum</w:t>
      </w:r>
      <w:r w:rsidR="002A6213">
        <w:rPr>
          <w:rFonts w:ascii="Times New Roman" w:hAnsi="Times New Roman" w:cs="Times New Roman"/>
          <w:sz w:val="24"/>
          <w:szCs w:val="24"/>
        </w:rPr>
        <w:t xml:space="preserve"> throughout all school boards.</w:t>
      </w:r>
      <w:r w:rsidR="006639AB">
        <w:rPr>
          <w:rFonts w:ascii="Times New Roman" w:hAnsi="Times New Roman" w:cs="Times New Roman"/>
          <w:sz w:val="24"/>
          <w:szCs w:val="24"/>
        </w:rPr>
        <w:t xml:space="preserve"> Even </w:t>
      </w:r>
      <w:r w:rsidR="00D73DC5">
        <w:rPr>
          <w:rFonts w:ascii="Times New Roman" w:hAnsi="Times New Roman" w:cs="Times New Roman"/>
          <w:sz w:val="24"/>
          <w:szCs w:val="24"/>
        </w:rPr>
        <w:t xml:space="preserve">the </w:t>
      </w:r>
      <w:r w:rsidR="006639AB">
        <w:rPr>
          <w:rFonts w:ascii="Times New Roman" w:hAnsi="Times New Roman" w:cs="Times New Roman"/>
          <w:sz w:val="24"/>
          <w:szCs w:val="24"/>
        </w:rPr>
        <w:t xml:space="preserve">schools which were not apart of the Separate </w:t>
      </w:r>
      <w:r w:rsidR="009F43FB">
        <w:rPr>
          <w:rFonts w:ascii="Times New Roman" w:hAnsi="Times New Roman" w:cs="Times New Roman"/>
          <w:sz w:val="24"/>
          <w:szCs w:val="24"/>
        </w:rPr>
        <w:t xml:space="preserve">School </w:t>
      </w:r>
      <w:r w:rsidR="006639AB">
        <w:rPr>
          <w:rFonts w:ascii="Times New Roman" w:hAnsi="Times New Roman" w:cs="Times New Roman"/>
          <w:sz w:val="24"/>
          <w:szCs w:val="24"/>
        </w:rPr>
        <w:t>Boards still offered religious classes where sex ed would be taught</w:t>
      </w:r>
      <w:r w:rsidR="00552B5F">
        <w:rPr>
          <w:rFonts w:ascii="Times New Roman" w:hAnsi="Times New Roman" w:cs="Times New Roman"/>
          <w:sz w:val="24"/>
          <w:szCs w:val="24"/>
        </w:rPr>
        <w:t xml:space="preserve">. This </w:t>
      </w:r>
      <w:r w:rsidR="009E07A5">
        <w:rPr>
          <w:rFonts w:ascii="Times New Roman" w:hAnsi="Times New Roman" w:cs="Times New Roman"/>
          <w:sz w:val="24"/>
          <w:szCs w:val="24"/>
        </w:rPr>
        <w:t>may</w:t>
      </w:r>
      <w:r w:rsidR="00552B5F">
        <w:rPr>
          <w:rFonts w:ascii="Times New Roman" w:hAnsi="Times New Roman" w:cs="Times New Roman"/>
          <w:sz w:val="24"/>
          <w:szCs w:val="24"/>
        </w:rPr>
        <w:t xml:space="preserve"> have led to conversations being closed off if they didn’t fit the morals and values </w:t>
      </w:r>
      <w:r w:rsidR="00552B5F" w:rsidRPr="00B422C2">
        <w:rPr>
          <w:rFonts w:ascii="Times New Roman" w:hAnsi="Times New Roman" w:cs="Times New Roman"/>
          <w:sz w:val="24"/>
          <w:szCs w:val="24"/>
        </w:rPr>
        <w:t xml:space="preserve">of that religion. </w:t>
      </w:r>
      <w:r w:rsidR="00D34541" w:rsidRPr="00B422C2">
        <w:rPr>
          <w:rFonts w:ascii="Times New Roman" w:hAnsi="Times New Roman" w:cs="Times New Roman"/>
          <w:sz w:val="24"/>
          <w:szCs w:val="24"/>
        </w:rPr>
        <w:t xml:space="preserve">Policies clearly lacked </w:t>
      </w:r>
      <w:r w:rsidR="0001479B">
        <w:rPr>
          <w:rFonts w:ascii="Times New Roman" w:hAnsi="Times New Roman" w:cs="Times New Roman"/>
          <w:sz w:val="24"/>
          <w:szCs w:val="24"/>
        </w:rPr>
        <w:t>leaving</w:t>
      </w:r>
      <w:r w:rsidR="00720A09" w:rsidRPr="00B422C2">
        <w:rPr>
          <w:rFonts w:ascii="Times New Roman" w:hAnsi="Times New Roman" w:cs="Times New Roman"/>
          <w:sz w:val="24"/>
          <w:szCs w:val="24"/>
        </w:rPr>
        <w:t xml:space="preserve"> curriculum</w:t>
      </w:r>
      <w:r w:rsidR="00B422C2">
        <w:rPr>
          <w:rFonts w:ascii="Times New Roman" w:hAnsi="Times New Roman" w:cs="Times New Roman"/>
          <w:sz w:val="24"/>
          <w:szCs w:val="24"/>
        </w:rPr>
        <w:t xml:space="preserve"> </w:t>
      </w:r>
      <w:r w:rsidR="00615F84">
        <w:rPr>
          <w:rFonts w:ascii="Times New Roman" w:hAnsi="Times New Roman" w:cs="Times New Roman"/>
          <w:sz w:val="24"/>
          <w:szCs w:val="24"/>
        </w:rPr>
        <w:t>up to</w:t>
      </w:r>
      <w:r w:rsidR="00775067">
        <w:rPr>
          <w:rFonts w:ascii="Times New Roman" w:hAnsi="Times New Roman" w:cs="Times New Roman"/>
          <w:sz w:val="24"/>
          <w:szCs w:val="24"/>
        </w:rPr>
        <w:t xml:space="preserve"> interpre</w:t>
      </w:r>
      <w:r w:rsidR="00615F84">
        <w:rPr>
          <w:rFonts w:ascii="Times New Roman" w:hAnsi="Times New Roman" w:cs="Times New Roman"/>
          <w:sz w:val="24"/>
          <w:szCs w:val="24"/>
        </w:rPr>
        <w:t xml:space="preserve">tation </w:t>
      </w:r>
      <w:r w:rsidR="00862652">
        <w:rPr>
          <w:rFonts w:ascii="Times New Roman" w:hAnsi="Times New Roman" w:cs="Times New Roman"/>
          <w:sz w:val="24"/>
          <w:szCs w:val="24"/>
        </w:rPr>
        <w:t>at the local level</w:t>
      </w:r>
      <w:r w:rsidR="009E0016">
        <w:rPr>
          <w:rFonts w:ascii="Times New Roman" w:hAnsi="Times New Roman" w:cs="Times New Roman"/>
          <w:sz w:val="24"/>
          <w:szCs w:val="24"/>
        </w:rPr>
        <w:t>.</w:t>
      </w:r>
      <w:r w:rsidR="00720A09">
        <w:rPr>
          <w:rFonts w:ascii="Times New Roman" w:hAnsi="Times New Roman" w:cs="Times New Roman"/>
          <w:sz w:val="24"/>
          <w:szCs w:val="24"/>
        </w:rPr>
        <w:t xml:space="preserve"> </w:t>
      </w:r>
      <w:r w:rsidR="005B3911">
        <w:rPr>
          <w:rFonts w:ascii="Times New Roman" w:hAnsi="Times New Roman" w:cs="Times New Roman"/>
          <w:sz w:val="24"/>
          <w:szCs w:val="24"/>
        </w:rPr>
        <w:t>I</w:t>
      </w:r>
      <w:r w:rsidR="00720A09">
        <w:rPr>
          <w:rFonts w:ascii="Times New Roman" w:hAnsi="Times New Roman" w:cs="Times New Roman"/>
          <w:sz w:val="24"/>
          <w:szCs w:val="24"/>
        </w:rPr>
        <w:t xml:space="preserve">n some schools they completely removed the curriculum </w:t>
      </w:r>
      <w:r w:rsidR="00F378DA">
        <w:rPr>
          <w:rFonts w:ascii="Times New Roman" w:hAnsi="Times New Roman" w:cs="Times New Roman"/>
          <w:sz w:val="24"/>
          <w:szCs w:val="24"/>
        </w:rPr>
        <w:t xml:space="preserve">if </w:t>
      </w:r>
      <w:r w:rsidR="00720A09">
        <w:rPr>
          <w:rFonts w:ascii="Times New Roman" w:hAnsi="Times New Roman" w:cs="Times New Roman"/>
          <w:sz w:val="24"/>
          <w:szCs w:val="24"/>
        </w:rPr>
        <w:t>it wasn’t compulsory within their district.</w:t>
      </w:r>
      <w:r w:rsidR="000D6292">
        <w:rPr>
          <w:rFonts w:ascii="Times New Roman" w:hAnsi="Times New Roman" w:cs="Times New Roman"/>
          <w:sz w:val="24"/>
          <w:szCs w:val="24"/>
        </w:rPr>
        <w:t xml:space="preserve"> Even as recent as 2010, there was still </w:t>
      </w:r>
      <w:r w:rsidR="00610CB8">
        <w:rPr>
          <w:rFonts w:ascii="Times New Roman" w:hAnsi="Times New Roman" w:cs="Times New Roman"/>
          <w:sz w:val="24"/>
          <w:szCs w:val="24"/>
        </w:rPr>
        <w:t>discrepancies between schools:</w:t>
      </w:r>
    </w:p>
    <w:p w14:paraId="6E756EE7" w14:textId="5F819CD1" w:rsidR="001F6B8E" w:rsidRDefault="009D1089" w:rsidP="006E0176">
      <w:pPr>
        <w:tabs>
          <w:tab w:val="left" w:pos="3168"/>
        </w:tabs>
        <w:spacing w:after="0" w:line="480" w:lineRule="auto"/>
        <w:ind w:left="720"/>
        <w:rPr>
          <w:rFonts w:ascii="Times New Roman" w:hAnsi="Times New Roman" w:cs="Times New Roman"/>
          <w:sz w:val="24"/>
          <w:szCs w:val="24"/>
        </w:rPr>
      </w:pPr>
      <w:r>
        <w:rPr>
          <w:rFonts w:ascii="Times New Roman" w:hAnsi="Times New Roman" w:cs="Times New Roman"/>
          <w:sz w:val="24"/>
          <w:szCs w:val="24"/>
        </w:rPr>
        <w:t>S</w:t>
      </w:r>
      <w:r w:rsidR="00610CB8" w:rsidRPr="00610CB8">
        <w:rPr>
          <w:rFonts w:ascii="Times New Roman" w:hAnsi="Times New Roman" w:cs="Times New Roman"/>
          <w:sz w:val="24"/>
          <w:szCs w:val="24"/>
        </w:rPr>
        <w:t>chools with religious affiliation, such as those under the Catholic school board and private schools, can supplement the existing sexual health education with information in courses of their own design. The ability of school systems to teach their own additional sexual health curriculum allows for variation in the sexual health information that students in Ontario are exposed to. Apart from the "formal" school system, youth may also receive faith-based sexual health education from youth groups or religious groups and/or non faith-based education from community youth organizations</w:t>
      </w:r>
      <w:r w:rsidR="005B46E7">
        <w:rPr>
          <w:rStyle w:val="FootnoteReference"/>
          <w:rFonts w:ascii="Times New Roman" w:hAnsi="Times New Roman" w:cs="Times New Roman"/>
          <w:sz w:val="24"/>
          <w:szCs w:val="24"/>
        </w:rPr>
        <w:footnoteReference w:id="23"/>
      </w:r>
    </w:p>
    <w:p w14:paraId="62827298" w14:textId="6BC1375A" w:rsidR="002A653C" w:rsidRDefault="009D4618" w:rsidP="00DF59F4">
      <w:pPr>
        <w:tabs>
          <w:tab w:val="left" w:pos="316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Policies and guidelines implemented left many students with inadequate </w:t>
      </w:r>
      <w:r w:rsidR="0029340D">
        <w:rPr>
          <w:rFonts w:ascii="Times New Roman" w:hAnsi="Times New Roman" w:cs="Times New Roman"/>
          <w:sz w:val="24"/>
          <w:szCs w:val="24"/>
        </w:rPr>
        <w:t xml:space="preserve">knowledge on important topics that were very relevant to their development, this led to an increase in teen pregnancy and spread of </w:t>
      </w:r>
      <w:r w:rsidR="00AE5CE0">
        <w:rPr>
          <w:rFonts w:ascii="Times New Roman" w:hAnsi="Times New Roman" w:cs="Times New Roman"/>
          <w:sz w:val="24"/>
          <w:szCs w:val="24"/>
        </w:rPr>
        <w:t xml:space="preserve">venereal diseases. </w:t>
      </w:r>
    </w:p>
    <w:p w14:paraId="4B8C6734" w14:textId="2B6832C6" w:rsidR="00C9007B" w:rsidRDefault="002E4FBD" w:rsidP="007D4278">
      <w:pPr>
        <w:tabs>
          <w:tab w:val="left" w:pos="316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A5CF2">
        <w:rPr>
          <w:rFonts w:ascii="Times New Roman" w:hAnsi="Times New Roman" w:cs="Times New Roman"/>
          <w:sz w:val="24"/>
          <w:szCs w:val="24"/>
        </w:rPr>
        <w:t>The argument about sex education being inadequate can be supported when looking at a</w:t>
      </w:r>
      <w:r w:rsidR="00252FE4">
        <w:rPr>
          <w:rFonts w:ascii="Times New Roman" w:hAnsi="Times New Roman" w:cs="Times New Roman"/>
          <w:sz w:val="24"/>
          <w:szCs w:val="24"/>
        </w:rPr>
        <w:t xml:space="preserve"> survey</w:t>
      </w:r>
      <w:r w:rsidR="009A5CF2">
        <w:rPr>
          <w:rFonts w:ascii="Times New Roman" w:hAnsi="Times New Roman" w:cs="Times New Roman"/>
          <w:sz w:val="24"/>
          <w:szCs w:val="24"/>
        </w:rPr>
        <w:t xml:space="preserve"> that was </w:t>
      </w:r>
      <w:r w:rsidR="00252FE4">
        <w:rPr>
          <w:rFonts w:ascii="Times New Roman" w:hAnsi="Times New Roman" w:cs="Times New Roman"/>
          <w:sz w:val="24"/>
          <w:szCs w:val="24"/>
        </w:rPr>
        <w:t>taken in 197</w:t>
      </w:r>
      <w:r w:rsidR="002D3265">
        <w:rPr>
          <w:rFonts w:ascii="Times New Roman" w:hAnsi="Times New Roman" w:cs="Times New Roman"/>
          <w:sz w:val="24"/>
          <w:szCs w:val="24"/>
        </w:rPr>
        <w:t>2</w:t>
      </w:r>
      <w:r w:rsidR="00252FE4">
        <w:rPr>
          <w:rFonts w:ascii="Times New Roman" w:hAnsi="Times New Roman" w:cs="Times New Roman"/>
          <w:sz w:val="24"/>
          <w:szCs w:val="24"/>
        </w:rPr>
        <w:t xml:space="preserve"> in </w:t>
      </w:r>
      <w:r w:rsidR="00FB00AE">
        <w:rPr>
          <w:rFonts w:ascii="Times New Roman" w:hAnsi="Times New Roman" w:cs="Times New Roman"/>
          <w:sz w:val="24"/>
          <w:szCs w:val="24"/>
        </w:rPr>
        <w:t>Wellington County</w:t>
      </w:r>
      <w:r w:rsidR="009A5CF2">
        <w:rPr>
          <w:rFonts w:ascii="Times New Roman" w:hAnsi="Times New Roman" w:cs="Times New Roman"/>
          <w:sz w:val="24"/>
          <w:szCs w:val="24"/>
        </w:rPr>
        <w:t xml:space="preserve">. Although it </w:t>
      </w:r>
      <w:r w:rsidR="00767EE6">
        <w:rPr>
          <w:rFonts w:ascii="Times New Roman" w:hAnsi="Times New Roman" w:cs="Times New Roman"/>
          <w:sz w:val="24"/>
          <w:szCs w:val="24"/>
        </w:rPr>
        <w:t xml:space="preserve">isn’t in the area of study, it gives good insight as to what students thought about the current sex ed that was being offered at their schools. </w:t>
      </w:r>
      <w:r w:rsidR="002A345E">
        <w:rPr>
          <w:rFonts w:ascii="Times New Roman" w:hAnsi="Times New Roman" w:cs="Times New Roman"/>
          <w:sz w:val="24"/>
          <w:szCs w:val="24"/>
        </w:rPr>
        <w:t xml:space="preserve">Over 95% of girls and 84% of the boys who answered the survey questionnaire </w:t>
      </w:r>
      <w:r w:rsidR="007308D0">
        <w:rPr>
          <w:rFonts w:ascii="Times New Roman" w:hAnsi="Times New Roman" w:cs="Times New Roman"/>
          <w:sz w:val="24"/>
          <w:szCs w:val="24"/>
        </w:rPr>
        <w:t>favoured more family life education</w:t>
      </w:r>
      <w:r w:rsidR="00F20BDA">
        <w:rPr>
          <w:rStyle w:val="FootnoteReference"/>
          <w:rFonts w:ascii="Times New Roman" w:hAnsi="Times New Roman" w:cs="Times New Roman"/>
          <w:sz w:val="24"/>
          <w:szCs w:val="24"/>
        </w:rPr>
        <w:footnoteReference w:id="24"/>
      </w:r>
      <w:r w:rsidR="00E25176">
        <w:rPr>
          <w:rFonts w:ascii="Times New Roman" w:hAnsi="Times New Roman" w:cs="Times New Roman"/>
          <w:sz w:val="24"/>
          <w:szCs w:val="24"/>
        </w:rPr>
        <w:t>. I</w:t>
      </w:r>
      <w:r w:rsidR="00BF7334">
        <w:rPr>
          <w:rFonts w:ascii="Times New Roman" w:hAnsi="Times New Roman" w:cs="Times New Roman"/>
          <w:sz w:val="24"/>
          <w:szCs w:val="24"/>
        </w:rPr>
        <w:t xml:space="preserve">nterestingly 70% of students wanted to learn about </w:t>
      </w:r>
      <w:r w:rsidR="00E25176">
        <w:rPr>
          <w:rFonts w:ascii="Times New Roman" w:hAnsi="Times New Roman" w:cs="Times New Roman"/>
          <w:sz w:val="24"/>
          <w:szCs w:val="24"/>
        </w:rPr>
        <w:t xml:space="preserve">the </w:t>
      </w:r>
      <w:r w:rsidR="00E25176">
        <w:rPr>
          <w:rFonts w:ascii="Times New Roman" w:hAnsi="Times New Roman" w:cs="Times New Roman"/>
          <w:sz w:val="24"/>
          <w:szCs w:val="24"/>
        </w:rPr>
        <w:lastRenderedPageBreak/>
        <w:t>aspects of sex such as reproduction, body differences and menstruation before grade 9</w:t>
      </w:r>
      <w:r w:rsidR="00AA460B">
        <w:rPr>
          <w:rFonts w:ascii="Times New Roman" w:hAnsi="Times New Roman" w:cs="Times New Roman"/>
          <w:sz w:val="24"/>
          <w:szCs w:val="24"/>
        </w:rPr>
        <w:t>, but only half of them had studied any of these topics by then. 70% of students by the end of grade 10 wan</w:t>
      </w:r>
      <w:r w:rsidR="00D00A3B">
        <w:rPr>
          <w:rFonts w:ascii="Times New Roman" w:hAnsi="Times New Roman" w:cs="Times New Roman"/>
          <w:sz w:val="24"/>
          <w:szCs w:val="24"/>
        </w:rPr>
        <w:t>t</w:t>
      </w:r>
      <w:r w:rsidR="00AA460B">
        <w:rPr>
          <w:rFonts w:ascii="Times New Roman" w:hAnsi="Times New Roman" w:cs="Times New Roman"/>
          <w:sz w:val="24"/>
          <w:szCs w:val="24"/>
        </w:rPr>
        <w:t xml:space="preserve">ed to learn about </w:t>
      </w:r>
      <w:r w:rsidR="00D00A3B">
        <w:rPr>
          <w:rFonts w:ascii="Times New Roman" w:hAnsi="Times New Roman" w:cs="Times New Roman"/>
          <w:sz w:val="24"/>
          <w:szCs w:val="24"/>
        </w:rPr>
        <w:t xml:space="preserve">the </w:t>
      </w:r>
      <w:r w:rsidR="00AA460B">
        <w:rPr>
          <w:rFonts w:ascii="Times New Roman" w:hAnsi="Times New Roman" w:cs="Times New Roman"/>
          <w:sz w:val="24"/>
          <w:szCs w:val="24"/>
        </w:rPr>
        <w:t xml:space="preserve">attitudes </w:t>
      </w:r>
      <w:r w:rsidR="008561CB">
        <w:rPr>
          <w:rFonts w:ascii="Times New Roman" w:hAnsi="Times New Roman" w:cs="Times New Roman"/>
          <w:sz w:val="24"/>
          <w:szCs w:val="24"/>
        </w:rPr>
        <w:t>towards premarital sex, unmarried parenthood, abortion and homosexuality</w:t>
      </w:r>
      <w:r w:rsidR="00FA62F5">
        <w:rPr>
          <w:rStyle w:val="FootnoteReference"/>
          <w:rFonts w:ascii="Times New Roman" w:hAnsi="Times New Roman" w:cs="Times New Roman"/>
          <w:sz w:val="24"/>
          <w:szCs w:val="24"/>
        </w:rPr>
        <w:footnoteReference w:id="25"/>
      </w:r>
      <w:r w:rsidR="00D00A3B">
        <w:rPr>
          <w:rFonts w:ascii="Times New Roman" w:hAnsi="Times New Roman" w:cs="Times New Roman"/>
          <w:sz w:val="24"/>
          <w:szCs w:val="24"/>
        </w:rPr>
        <w:t>.</w:t>
      </w:r>
      <w:r w:rsidR="003D24F5">
        <w:rPr>
          <w:rFonts w:ascii="Times New Roman" w:hAnsi="Times New Roman" w:cs="Times New Roman"/>
          <w:sz w:val="24"/>
          <w:szCs w:val="24"/>
        </w:rPr>
        <w:t xml:space="preserve"> Parents and educators </w:t>
      </w:r>
      <w:r w:rsidR="00487942">
        <w:rPr>
          <w:rFonts w:ascii="Times New Roman" w:hAnsi="Times New Roman" w:cs="Times New Roman"/>
          <w:sz w:val="24"/>
          <w:szCs w:val="24"/>
        </w:rPr>
        <w:t xml:space="preserve">believed that teenagers should follow conservative values, therefore the need for contraceptive </w:t>
      </w:r>
      <w:r w:rsidR="00520F24">
        <w:rPr>
          <w:rFonts w:ascii="Times New Roman" w:hAnsi="Times New Roman" w:cs="Times New Roman"/>
          <w:sz w:val="24"/>
          <w:szCs w:val="24"/>
        </w:rPr>
        <w:t xml:space="preserve">knowledge was </w:t>
      </w:r>
      <w:r w:rsidR="00842802">
        <w:rPr>
          <w:rFonts w:ascii="Times New Roman" w:hAnsi="Times New Roman" w:cs="Times New Roman"/>
          <w:sz w:val="24"/>
          <w:szCs w:val="24"/>
        </w:rPr>
        <w:t>zilch</w:t>
      </w:r>
      <w:r w:rsidR="00520F24">
        <w:rPr>
          <w:rFonts w:ascii="Times New Roman" w:hAnsi="Times New Roman" w:cs="Times New Roman"/>
          <w:sz w:val="24"/>
          <w:szCs w:val="24"/>
        </w:rPr>
        <w:t xml:space="preserve">. </w:t>
      </w:r>
      <w:r w:rsidR="002867CA">
        <w:rPr>
          <w:rFonts w:ascii="Times New Roman" w:hAnsi="Times New Roman" w:cs="Times New Roman"/>
          <w:sz w:val="24"/>
          <w:szCs w:val="24"/>
        </w:rPr>
        <w:t>Stude</w:t>
      </w:r>
      <w:r w:rsidR="00E8754E">
        <w:rPr>
          <w:rFonts w:ascii="Times New Roman" w:hAnsi="Times New Roman" w:cs="Times New Roman"/>
          <w:sz w:val="24"/>
          <w:szCs w:val="24"/>
        </w:rPr>
        <w:t>nts strongly disagreed</w:t>
      </w:r>
      <w:r w:rsidR="000C37D7">
        <w:rPr>
          <w:rFonts w:ascii="Times New Roman" w:hAnsi="Times New Roman" w:cs="Times New Roman"/>
          <w:sz w:val="24"/>
          <w:szCs w:val="24"/>
        </w:rPr>
        <w:t xml:space="preserve"> with this idea and felt they should be taught about contraception</w:t>
      </w:r>
      <w:r w:rsidR="000C37D7">
        <w:rPr>
          <w:rStyle w:val="FootnoteReference"/>
          <w:rFonts w:ascii="Times New Roman" w:hAnsi="Times New Roman" w:cs="Times New Roman"/>
          <w:sz w:val="24"/>
          <w:szCs w:val="24"/>
        </w:rPr>
        <w:footnoteReference w:id="26"/>
      </w:r>
      <w:r w:rsidR="000C37D7">
        <w:rPr>
          <w:rFonts w:ascii="Times New Roman" w:hAnsi="Times New Roman" w:cs="Times New Roman"/>
          <w:sz w:val="24"/>
          <w:szCs w:val="24"/>
        </w:rPr>
        <w:t>.</w:t>
      </w:r>
      <w:r w:rsidR="00332B92">
        <w:rPr>
          <w:rFonts w:ascii="Times New Roman" w:hAnsi="Times New Roman" w:cs="Times New Roman"/>
          <w:sz w:val="24"/>
          <w:szCs w:val="24"/>
        </w:rPr>
        <w:t xml:space="preserve"> </w:t>
      </w:r>
      <w:r w:rsidR="00D974FB">
        <w:rPr>
          <w:rFonts w:ascii="Times New Roman" w:hAnsi="Times New Roman" w:cs="Times New Roman"/>
          <w:sz w:val="24"/>
          <w:szCs w:val="24"/>
        </w:rPr>
        <w:t>Most</w:t>
      </w:r>
      <w:r w:rsidR="00AD4FF6">
        <w:rPr>
          <w:rFonts w:ascii="Times New Roman" w:hAnsi="Times New Roman" w:cs="Times New Roman"/>
          <w:sz w:val="24"/>
          <w:szCs w:val="24"/>
        </w:rPr>
        <w:t xml:space="preserve"> students wanted to learn about topics earlier</w:t>
      </w:r>
      <w:r w:rsidR="004A149C">
        <w:rPr>
          <w:rFonts w:ascii="Times New Roman" w:hAnsi="Times New Roman" w:cs="Times New Roman"/>
          <w:sz w:val="24"/>
          <w:szCs w:val="24"/>
        </w:rPr>
        <w:t xml:space="preserve"> in sc</w:t>
      </w:r>
      <w:r w:rsidR="00CC4467">
        <w:rPr>
          <w:rFonts w:ascii="Times New Roman" w:hAnsi="Times New Roman" w:cs="Times New Roman"/>
          <w:sz w:val="24"/>
          <w:szCs w:val="24"/>
        </w:rPr>
        <w:t>hool</w:t>
      </w:r>
      <w:r w:rsidR="005E1100">
        <w:rPr>
          <w:rFonts w:ascii="Times New Roman" w:hAnsi="Times New Roman" w:cs="Times New Roman"/>
          <w:sz w:val="24"/>
          <w:szCs w:val="24"/>
        </w:rPr>
        <w:t xml:space="preserve"> and felt they needed it sooner</w:t>
      </w:r>
      <w:r w:rsidR="00ED5F64">
        <w:rPr>
          <w:rFonts w:ascii="Times New Roman" w:hAnsi="Times New Roman" w:cs="Times New Roman"/>
          <w:sz w:val="24"/>
          <w:szCs w:val="24"/>
        </w:rPr>
        <w:t>.</w:t>
      </w:r>
    </w:p>
    <w:p w14:paraId="765644F0" w14:textId="1F925AA9" w:rsidR="007154A4" w:rsidRDefault="007154A4" w:rsidP="006302C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Parents felt it was their obligation and right to instill values in their children and supply them with the necessary knowledge</w:t>
      </w:r>
      <w:r w:rsidR="00B06A86">
        <w:rPr>
          <w:rFonts w:ascii="Times New Roman" w:hAnsi="Times New Roman" w:cs="Times New Roman"/>
          <w:sz w:val="24"/>
          <w:szCs w:val="24"/>
        </w:rPr>
        <w:t xml:space="preserve"> about sexual health</w:t>
      </w:r>
      <w:r>
        <w:rPr>
          <w:rFonts w:ascii="Times New Roman" w:hAnsi="Times New Roman" w:cs="Times New Roman"/>
          <w:sz w:val="24"/>
          <w:szCs w:val="24"/>
        </w:rPr>
        <w:t xml:space="preserve">. </w:t>
      </w:r>
      <w:r w:rsidR="009D6D51">
        <w:rPr>
          <w:rFonts w:ascii="Times New Roman" w:hAnsi="Times New Roman" w:cs="Times New Roman"/>
          <w:sz w:val="24"/>
          <w:szCs w:val="24"/>
        </w:rPr>
        <w:t xml:space="preserve">A prime example of this is when </w:t>
      </w:r>
      <w:r w:rsidR="002A79A1">
        <w:rPr>
          <w:rFonts w:ascii="Times New Roman" w:hAnsi="Times New Roman" w:cs="Times New Roman"/>
          <w:sz w:val="24"/>
          <w:szCs w:val="24"/>
        </w:rPr>
        <w:t>Steve Tourloukis</w:t>
      </w:r>
      <w:r w:rsidR="009D6D51">
        <w:rPr>
          <w:rFonts w:ascii="Times New Roman" w:hAnsi="Times New Roman" w:cs="Times New Roman"/>
          <w:sz w:val="24"/>
          <w:szCs w:val="24"/>
        </w:rPr>
        <w:t xml:space="preserve"> sued his children’s school </w:t>
      </w:r>
      <w:r w:rsidR="00F27CDC">
        <w:rPr>
          <w:rFonts w:ascii="Times New Roman" w:hAnsi="Times New Roman" w:cs="Times New Roman"/>
          <w:sz w:val="24"/>
          <w:szCs w:val="24"/>
        </w:rPr>
        <w:t xml:space="preserve">in 2012 </w:t>
      </w:r>
      <w:r w:rsidR="009D6D51">
        <w:rPr>
          <w:rFonts w:ascii="Times New Roman" w:hAnsi="Times New Roman" w:cs="Times New Roman"/>
          <w:sz w:val="24"/>
          <w:szCs w:val="24"/>
        </w:rPr>
        <w:t>for not informing h</w:t>
      </w:r>
      <w:r w:rsidR="00F27CDC">
        <w:rPr>
          <w:rFonts w:ascii="Times New Roman" w:hAnsi="Times New Roman" w:cs="Times New Roman"/>
          <w:sz w:val="24"/>
          <w:szCs w:val="24"/>
        </w:rPr>
        <w:t xml:space="preserve">im that they were going to be educated on marriage, sexuality and family values; he wanted his children to be learning about these topics </w:t>
      </w:r>
      <w:r w:rsidR="0046620A">
        <w:rPr>
          <w:rFonts w:ascii="Times New Roman" w:hAnsi="Times New Roman" w:cs="Times New Roman"/>
          <w:sz w:val="24"/>
          <w:szCs w:val="24"/>
        </w:rPr>
        <w:t xml:space="preserve">from a </w:t>
      </w:r>
      <w:r w:rsidR="00F27CDC">
        <w:rPr>
          <w:rFonts w:ascii="Times New Roman" w:hAnsi="Times New Roman" w:cs="Times New Roman"/>
          <w:sz w:val="24"/>
          <w:szCs w:val="24"/>
        </w:rPr>
        <w:t>strict</w:t>
      </w:r>
      <w:r w:rsidR="0046620A">
        <w:rPr>
          <w:rFonts w:ascii="Times New Roman" w:hAnsi="Times New Roman" w:cs="Times New Roman"/>
          <w:sz w:val="24"/>
          <w:szCs w:val="24"/>
        </w:rPr>
        <w:t xml:space="preserve"> C</w:t>
      </w:r>
      <w:r w:rsidR="00F27CDC">
        <w:rPr>
          <w:rFonts w:ascii="Times New Roman" w:hAnsi="Times New Roman" w:cs="Times New Roman"/>
          <w:sz w:val="24"/>
          <w:szCs w:val="24"/>
        </w:rPr>
        <w:t xml:space="preserve">hristian </w:t>
      </w:r>
      <w:r w:rsidR="0046620A">
        <w:rPr>
          <w:rFonts w:ascii="Times New Roman" w:hAnsi="Times New Roman" w:cs="Times New Roman"/>
          <w:sz w:val="24"/>
          <w:szCs w:val="24"/>
        </w:rPr>
        <w:t>perspective</w:t>
      </w:r>
      <w:r w:rsidR="00917846">
        <w:rPr>
          <w:rFonts w:ascii="Times New Roman" w:hAnsi="Times New Roman" w:cs="Times New Roman"/>
          <w:sz w:val="24"/>
          <w:szCs w:val="24"/>
        </w:rPr>
        <w:t xml:space="preserve"> either from the church or from himself</w:t>
      </w:r>
      <w:r w:rsidR="007C0D4C">
        <w:rPr>
          <w:rStyle w:val="FootnoteReference"/>
          <w:rFonts w:ascii="Times New Roman" w:hAnsi="Times New Roman" w:cs="Times New Roman"/>
          <w:sz w:val="24"/>
          <w:szCs w:val="24"/>
        </w:rPr>
        <w:footnoteReference w:id="27"/>
      </w:r>
      <w:r w:rsidR="0046620A">
        <w:rPr>
          <w:rFonts w:ascii="Times New Roman" w:hAnsi="Times New Roman" w:cs="Times New Roman"/>
          <w:sz w:val="24"/>
          <w:szCs w:val="24"/>
        </w:rPr>
        <w:t>.</w:t>
      </w:r>
      <w:r w:rsidR="00917846">
        <w:rPr>
          <w:rFonts w:ascii="Times New Roman" w:hAnsi="Times New Roman" w:cs="Times New Roman"/>
          <w:sz w:val="24"/>
          <w:szCs w:val="24"/>
        </w:rPr>
        <w:t xml:space="preserve"> </w:t>
      </w:r>
      <w:r w:rsidR="00B85652">
        <w:rPr>
          <w:rFonts w:ascii="Times New Roman" w:hAnsi="Times New Roman" w:cs="Times New Roman"/>
          <w:sz w:val="24"/>
          <w:szCs w:val="24"/>
        </w:rPr>
        <w:t>Unfortunately</w:t>
      </w:r>
      <w:r w:rsidR="007D1E47">
        <w:rPr>
          <w:rFonts w:ascii="Times New Roman" w:hAnsi="Times New Roman" w:cs="Times New Roman"/>
          <w:sz w:val="24"/>
          <w:szCs w:val="24"/>
        </w:rPr>
        <w:t>,</w:t>
      </w:r>
      <w:r w:rsidR="00B85652">
        <w:rPr>
          <w:rFonts w:ascii="Times New Roman" w:hAnsi="Times New Roman" w:cs="Times New Roman"/>
          <w:sz w:val="24"/>
          <w:szCs w:val="24"/>
        </w:rPr>
        <w:t xml:space="preserve"> often parents fall short when it comes to educating their </w:t>
      </w:r>
      <w:r w:rsidR="007D1E47">
        <w:rPr>
          <w:rFonts w:ascii="Times New Roman" w:hAnsi="Times New Roman" w:cs="Times New Roman"/>
          <w:sz w:val="24"/>
          <w:szCs w:val="24"/>
        </w:rPr>
        <w:t>children,</w:t>
      </w:r>
      <w:r w:rsidR="00B85652">
        <w:rPr>
          <w:rFonts w:ascii="Times New Roman" w:hAnsi="Times New Roman" w:cs="Times New Roman"/>
          <w:sz w:val="24"/>
          <w:szCs w:val="24"/>
        </w:rPr>
        <w:t xml:space="preserve"> so information is either misleading </w:t>
      </w:r>
      <w:r w:rsidR="007D1E47">
        <w:rPr>
          <w:rFonts w:ascii="Times New Roman" w:hAnsi="Times New Roman" w:cs="Times New Roman"/>
          <w:sz w:val="24"/>
          <w:szCs w:val="24"/>
        </w:rPr>
        <w:t>or inadequate</w:t>
      </w:r>
      <w:r w:rsidR="00B85652">
        <w:rPr>
          <w:rFonts w:ascii="Times New Roman" w:hAnsi="Times New Roman" w:cs="Times New Roman"/>
          <w:sz w:val="24"/>
          <w:szCs w:val="24"/>
        </w:rPr>
        <w:t xml:space="preserve">. </w:t>
      </w:r>
      <w:r w:rsidR="003A4772">
        <w:rPr>
          <w:rFonts w:ascii="Times New Roman" w:hAnsi="Times New Roman" w:cs="Times New Roman"/>
          <w:sz w:val="24"/>
          <w:szCs w:val="24"/>
        </w:rPr>
        <w:t xml:space="preserve">Children </w:t>
      </w:r>
      <w:r w:rsidR="00D437ED">
        <w:rPr>
          <w:rFonts w:ascii="Times New Roman" w:hAnsi="Times New Roman" w:cs="Times New Roman"/>
          <w:sz w:val="24"/>
          <w:szCs w:val="24"/>
        </w:rPr>
        <w:t xml:space="preserve">are highly influential </w:t>
      </w:r>
      <w:r w:rsidR="008019C2">
        <w:rPr>
          <w:rFonts w:ascii="Times New Roman" w:hAnsi="Times New Roman" w:cs="Times New Roman"/>
          <w:sz w:val="24"/>
          <w:szCs w:val="24"/>
        </w:rPr>
        <w:t>and even if no explicit sex talk happened in</w:t>
      </w:r>
      <w:r w:rsidR="00EF37D3">
        <w:rPr>
          <w:rFonts w:ascii="Times New Roman" w:hAnsi="Times New Roman" w:cs="Times New Roman"/>
          <w:sz w:val="24"/>
          <w:szCs w:val="24"/>
        </w:rPr>
        <w:t xml:space="preserve"> the</w:t>
      </w:r>
      <w:r w:rsidR="008019C2">
        <w:rPr>
          <w:rFonts w:ascii="Times New Roman" w:hAnsi="Times New Roman" w:cs="Times New Roman"/>
          <w:sz w:val="24"/>
          <w:szCs w:val="24"/>
        </w:rPr>
        <w:t xml:space="preserve"> home</w:t>
      </w:r>
      <w:r w:rsidR="00C74812">
        <w:rPr>
          <w:rFonts w:ascii="Times New Roman" w:hAnsi="Times New Roman" w:cs="Times New Roman"/>
          <w:sz w:val="24"/>
          <w:szCs w:val="24"/>
        </w:rPr>
        <w:t>,</w:t>
      </w:r>
      <w:r w:rsidR="00333171">
        <w:rPr>
          <w:rFonts w:ascii="Times New Roman" w:hAnsi="Times New Roman" w:cs="Times New Roman"/>
          <w:sz w:val="24"/>
          <w:szCs w:val="24"/>
        </w:rPr>
        <w:t xml:space="preserve"> they easily learn what their parents</w:t>
      </w:r>
      <w:r w:rsidR="00C74812">
        <w:rPr>
          <w:rFonts w:ascii="Times New Roman" w:hAnsi="Times New Roman" w:cs="Times New Roman"/>
          <w:sz w:val="24"/>
          <w:szCs w:val="24"/>
        </w:rPr>
        <w:t>’</w:t>
      </w:r>
      <w:r w:rsidR="00333171">
        <w:rPr>
          <w:rFonts w:ascii="Times New Roman" w:hAnsi="Times New Roman" w:cs="Times New Roman"/>
          <w:sz w:val="24"/>
          <w:szCs w:val="24"/>
        </w:rPr>
        <w:t xml:space="preserve"> </w:t>
      </w:r>
      <w:r w:rsidR="00C74812">
        <w:rPr>
          <w:rFonts w:ascii="Times New Roman" w:hAnsi="Times New Roman" w:cs="Times New Roman"/>
          <w:sz w:val="24"/>
          <w:szCs w:val="24"/>
        </w:rPr>
        <w:t>opinion</w:t>
      </w:r>
      <w:r w:rsidR="00333171">
        <w:rPr>
          <w:rFonts w:ascii="Times New Roman" w:hAnsi="Times New Roman" w:cs="Times New Roman"/>
          <w:sz w:val="24"/>
          <w:szCs w:val="24"/>
        </w:rPr>
        <w:t xml:space="preserve"> is towards sex. </w:t>
      </w:r>
      <w:r w:rsidR="005A2E23">
        <w:rPr>
          <w:rFonts w:ascii="Times New Roman" w:hAnsi="Times New Roman" w:cs="Times New Roman"/>
          <w:sz w:val="24"/>
          <w:szCs w:val="24"/>
        </w:rPr>
        <w:t>Education can be separated into two categories, “attitudinal” and “informational”</w:t>
      </w:r>
      <w:r w:rsidR="00692CEC">
        <w:rPr>
          <w:rFonts w:ascii="Times New Roman" w:hAnsi="Times New Roman" w:cs="Times New Roman"/>
          <w:sz w:val="24"/>
          <w:szCs w:val="24"/>
        </w:rPr>
        <w:t>, attitudinal refers to the education kids receive everyday</w:t>
      </w:r>
      <w:r w:rsidR="00FA0352">
        <w:rPr>
          <w:rFonts w:ascii="Times New Roman" w:hAnsi="Times New Roman" w:cs="Times New Roman"/>
          <w:sz w:val="24"/>
          <w:szCs w:val="24"/>
        </w:rPr>
        <w:t xml:space="preserve"> through conversation or lack there of. T</w:t>
      </w:r>
      <w:r w:rsidR="00692CEC">
        <w:rPr>
          <w:rFonts w:ascii="Times New Roman" w:hAnsi="Times New Roman" w:cs="Times New Roman"/>
          <w:sz w:val="24"/>
          <w:szCs w:val="24"/>
        </w:rPr>
        <w:t>he way parents talk about sex</w:t>
      </w:r>
      <w:r w:rsidR="00FA0352">
        <w:rPr>
          <w:rFonts w:ascii="Times New Roman" w:hAnsi="Times New Roman" w:cs="Times New Roman"/>
          <w:sz w:val="24"/>
          <w:szCs w:val="24"/>
        </w:rPr>
        <w:t>,</w:t>
      </w:r>
      <w:r w:rsidR="008203AC">
        <w:rPr>
          <w:rFonts w:ascii="Times New Roman" w:hAnsi="Times New Roman" w:cs="Times New Roman"/>
          <w:sz w:val="24"/>
          <w:szCs w:val="24"/>
        </w:rPr>
        <w:t xml:space="preserve"> ex. Referring to it as </w:t>
      </w:r>
      <w:r w:rsidR="00C50182">
        <w:rPr>
          <w:rFonts w:ascii="Times New Roman" w:hAnsi="Times New Roman" w:cs="Times New Roman"/>
          <w:sz w:val="24"/>
          <w:szCs w:val="24"/>
        </w:rPr>
        <w:t>dirty can</w:t>
      </w:r>
      <w:r w:rsidR="00EB62E1">
        <w:rPr>
          <w:rFonts w:ascii="Times New Roman" w:hAnsi="Times New Roman" w:cs="Times New Roman"/>
          <w:sz w:val="24"/>
          <w:szCs w:val="24"/>
        </w:rPr>
        <w:t xml:space="preserve"> cause sex </w:t>
      </w:r>
      <w:r w:rsidR="0026596D">
        <w:rPr>
          <w:rFonts w:ascii="Times New Roman" w:hAnsi="Times New Roman" w:cs="Times New Roman"/>
          <w:sz w:val="24"/>
          <w:szCs w:val="24"/>
        </w:rPr>
        <w:t>to appear</w:t>
      </w:r>
      <w:r w:rsidR="00EB62E1">
        <w:rPr>
          <w:rFonts w:ascii="Times New Roman" w:hAnsi="Times New Roman" w:cs="Times New Roman"/>
          <w:sz w:val="24"/>
          <w:szCs w:val="24"/>
        </w:rPr>
        <w:t xml:space="preserve"> forbidden</w:t>
      </w:r>
      <w:r w:rsidR="00FA0352">
        <w:rPr>
          <w:rFonts w:ascii="Times New Roman" w:hAnsi="Times New Roman" w:cs="Times New Roman"/>
          <w:sz w:val="24"/>
          <w:szCs w:val="24"/>
        </w:rPr>
        <w:t>. O</w:t>
      </w:r>
      <w:r w:rsidR="008203AC">
        <w:rPr>
          <w:rFonts w:ascii="Times New Roman" w:hAnsi="Times New Roman" w:cs="Times New Roman"/>
          <w:sz w:val="24"/>
          <w:szCs w:val="24"/>
        </w:rPr>
        <w:t>r if they don’t talk about it a</w:t>
      </w:r>
      <w:r w:rsidR="008E377B">
        <w:rPr>
          <w:rFonts w:ascii="Times New Roman" w:hAnsi="Times New Roman" w:cs="Times New Roman"/>
          <w:sz w:val="24"/>
          <w:szCs w:val="24"/>
        </w:rPr>
        <w:t>ll ex. Making it a taboo topic in home</w:t>
      </w:r>
      <w:r w:rsidR="00EB62E1">
        <w:rPr>
          <w:rFonts w:ascii="Times New Roman" w:hAnsi="Times New Roman" w:cs="Times New Roman"/>
          <w:sz w:val="24"/>
          <w:szCs w:val="24"/>
        </w:rPr>
        <w:t xml:space="preserve"> causing anxieties in children over the subject if they can’t have a conversation about it</w:t>
      </w:r>
      <w:r w:rsidR="008E377B">
        <w:rPr>
          <w:rStyle w:val="FootnoteReference"/>
          <w:rFonts w:ascii="Times New Roman" w:hAnsi="Times New Roman" w:cs="Times New Roman"/>
          <w:sz w:val="24"/>
          <w:szCs w:val="24"/>
        </w:rPr>
        <w:footnoteReference w:id="28"/>
      </w:r>
      <w:r w:rsidR="00402ECE">
        <w:rPr>
          <w:rFonts w:ascii="Times New Roman" w:hAnsi="Times New Roman" w:cs="Times New Roman"/>
          <w:sz w:val="24"/>
          <w:szCs w:val="24"/>
        </w:rPr>
        <w:t xml:space="preserve">. </w:t>
      </w:r>
      <w:r w:rsidR="00B92469">
        <w:rPr>
          <w:rFonts w:ascii="Times New Roman" w:hAnsi="Times New Roman" w:cs="Times New Roman"/>
          <w:sz w:val="24"/>
          <w:szCs w:val="24"/>
        </w:rPr>
        <w:t xml:space="preserve">The problem is many parents give attitudinal education </w:t>
      </w:r>
      <w:r w:rsidR="00B92469">
        <w:rPr>
          <w:rFonts w:ascii="Times New Roman" w:hAnsi="Times New Roman" w:cs="Times New Roman"/>
          <w:sz w:val="24"/>
          <w:szCs w:val="24"/>
        </w:rPr>
        <w:lastRenderedPageBreak/>
        <w:t>rather than informational, so they push their beliefs</w:t>
      </w:r>
      <w:r w:rsidR="00A41D3F">
        <w:rPr>
          <w:rFonts w:ascii="Times New Roman" w:hAnsi="Times New Roman" w:cs="Times New Roman"/>
          <w:sz w:val="24"/>
          <w:szCs w:val="24"/>
        </w:rPr>
        <w:t>/values</w:t>
      </w:r>
      <w:r w:rsidR="00B92469">
        <w:rPr>
          <w:rFonts w:ascii="Times New Roman" w:hAnsi="Times New Roman" w:cs="Times New Roman"/>
          <w:sz w:val="24"/>
          <w:szCs w:val="24"/>
        </w:rPr>
        <w:t xml:space="preserve"> on their children rather than</w:t>
      </w:r>
      <w:r w:rsidR="00A41D3F">
        <w:rPr>
          <w:rFonts w:ascii="Times New Roman" w:hAnsi="Times New Roman" w:cs="Times New Roman"/>
          <w:sz w:val="24"/>
          <w:szCs w:val="24"/>
        </w:rPr>
        <w:t xml:space="preserve"> giving information letting their children decide what their own values are. </w:t>
      </w:r>
      <w:r w:rsidR="009A4E63">
        <w:rPr>
          <w:rFonts w:ascii="Times New Roman" w:hAnsi="Times New Roman" w:cs="Times New Roman"/>
          <w:sz w:val="24"/>
          <w:szCs w:val="24"/>
        </w:rPr>
        <w:t>Children whos</w:t>
      </w:r>
      <w:r w:rsidR="009F44CF">
        <w:rPr>
          <w:rFonts w:ascii="Times New Roman" w:hAnsi="Times New Roman" w:cs="Times New Roman"/>
          <w:sz w:val="24"/>
          <w:szCs w:val="24"/>
        </w:rPr>
        <w:t>e</w:t>
      </w:r>
      <w:r w:rsidR="009A4E63">
        <w:rPr>
          <w:rFonts w:ascii="Times New Roman" w:hAnsi="Times New Roman" w:cs="Times New Roman"/>
          <w:sz w:val="24"/>
          <w:szCs w:val="24"/>
        </w:rPr>
        <w:t xml:space="preserve"> parents push anything on them often react with resist</w:t>
      </w:r>
      <w:r w:rsidR="00785217">
        <w:rPr>
          <w:rFonts w:ascii="Times New Roman" w:hAnsi="Times New Roman" w:cs="Times New Roman"/>
          <w:sz w:val="24"/>
          <w:szCs w:val="24"/>
        </w:rPr>
        <w:t xml:space="preserve">ance </w:t>
      </w:r>
      <w:r w:rsidR="001B0322">
        <w:rPr>
          <w:rFonts w:ascii="Times New Roman" w:hAnsi="Times New Roman" w:cs="Times New Roman"/>
          <w:sz w:val="24"/>
          <w:szCs w:val="24"/>
        </w:rPr>
        <w:t>towards whatever it may</w:t>
      </w:r>
      <w:r w:rsidR="00FE3874">
        <w:rPr>
          <w:rFonts w:ascii="Times New Roman" w:hAnsi="Times New Roman" w:cs="Times New Roman"/>
          <w:sz w:val="24"/>
          <w:szCs w:val="24"/>
        </w:rPr>
        <w:t xml:space="preserve"> especially </w:t>
      </w:r>
      <w:r w:rsidR="0079400B">
        <w:rPr>
          <w:rFonts w:ascii="Times New Roman" w:hAnsi="Times New Roman" w:cs="Times New Roman"/>
          <w:sz w:val="24"/>
          <w:szCs w:val="24"/>
        </w:rPr>
        <w:t xml:space="preserve">if it such </w:t>
      </w:r>
      <w:r w:rsidR="00613FA1">
        <w:rPr>
          <w:rFonts w:ascii="Times New Roman" w:hAnsi="Times New Roman" w:cs="Times New Roman"/>
          <w:sz w:val="24"/>
          <w:szCs w:val="24"/>
        </w:rPr>
        <w:t>a contentious</w:t>
      </w:r>
      <w:r w:rsidR="009F44CF">
        <w:rPr>
          <w:rFonts w:ascii="Times New Roman" w:hAnsi="Times New Roman" w:cs="Times New Roman"/>
          <w:sz w:val="24"/>
          <w:szCs w:val="24"/>
        </w:rPr>
        <w:t xml:space="preserve"> topic</w:t>
      </w:r>
      <w:r w:rsidR="008F162B">
        <w:rPr>
          <w:rStyle w:val="FootnoteReference"/>
          <w:rFonts w:ascii="Times New Roman" w:hAnsi="Times New Roman" w:cs="Times New Roman"/>
          <w:sz w:val="24"/>
          <w:szCs w:val="24"/>
        </w:rPr>
        <w:footnoteReference w:id="29"/>
      </w:r>
      <w:r w:rsidR="009F44CF">
        <w:rPr>
          <w:rFonts w:ascii="Times New Roman" w:hAnsi="Times New Roman" w:cs="Times New Roman"/>
          <w:sz w:val="24"/>
          <w:szCs w:val="24"/>
        </w:rPr>
        <w:t xml:space="preserve">. </w:t>
      </w:r>
      <w:r w:rsidR="004A6F80">
        <w:rPr>
          <w:rFonts w:ascii="Times New Roman" w:hAnsi="Times New Roman" w:cs="Times New Roman"/>
          <w:sz w:val="24"/>
          <w:szCs w:val="24"/>
        </w:rPr>
        <w:t xml:space="preserve">Most people want to be educated on a topic so they can form their own opinion on it, the same goes towards sex education. False </w:t>
      </w:r>
      <w:r w:rsidR="006E43C9">
        <w:rPr>
          <w:rFonts w:ascii="Times New Roman" w:hAnsi="Times New Roman" w:cs="Times New Roman"/>
          <w:sz w:val="24"/>
          <w:szCs w:val="24"/>
        </w:rPr>
        <w:t>beliefs were held that if a child was educated on sex that would drive them to</w:t>
      </w:r>
      <w:r w:rsidR="00252AF8">
        <w:rPr>
          <w:rFonts w:ascii="Times New Roman" w:hAnsi="Times New Roman" w:cs="Times New Roman"/>
          <w:sz w:val="24"/>
          <w:szCs w:val="24"/>
        </w:rPr>
        <w:t xml:space="preserve">ward </w:t>
      </w:r>
      <w:r w:rsidR="001222FB">
        <w:rPr>
          <w:rFonts w:ascii="Times New Roman" w:hAnsi="Times New Roman" w:cs="Times New Roman"/>
          <w:sz w:val="24"/>
          <w:szCs w:val="24"/>
        </w:rPr>
        <w:t>experimenting</w:t>
      </w:r>
      <w:r w:rsidR="00914569">
        <w:rPr>
          <w:rFonts w:ascii="Times New Roman" w:hAnsi="Times New Roman" w:cs="Times New Roman"/>
          <w:sz w:val="24"/>
          <w:szCs w:val="24"/>
        </w:rPr>
        <w:t>, naturally humans at all ages are highly sexual beings; if we normalized sex starting in the home at a younger age it would stop</w:t>
      </w:r>
      <w:r w:rsidR="00D74561">
        <w:rPr>
          <w:rFonts w:ascii="Times New Roman" w:hAnsi="Times New Roman" w:cs="Times New Roman"/>
          <w:sz w:val="24"/>
          <w:szCs w:val="24"/>
        </w:rPr>
        <w:t xml:space="preserve"> </w:t>
      </w:r>
      <w:r w:rsidR="00586253">
        <w:rPr>
          <w:rFonts w:ascii="Times New Roman" w:hAnsi="Times New Roman" w:cs="Times New Roman"/>
          <w:sz w:val="24"/>
          <w:szCs w:val="24"/>
        </w:rPr>
        <w:t>issues related to sex later in life</w:t>
      </w:r>
      <w:r w:rsidR="00D33684">
        <w:rPr>
          <w:rFonts w:ascii="Times New Roman" w:hAnsi="Times New Roman" w:cs="Times New Roman"/>
          <w:sz w:val="24"/>
          <w:szCs w:val="24"/>
        </w:rPr>
        <w:t xml:space="preserve"> such as. </w:t>
      </w:r>
      <w:r w:rsidR="006B0FF9">
        <w:rPr>
          <w:rFonts w:ascii="Times New Roman" w:hAnsi="Times New Roman" w:cs="Times New Roman"/>
          <w:sz w:val="24"/>
          <w:szCs w:val="24"/>
        </w:rPr>
        <w:t xml:space="preserve">STDs, teenage pregnancy, </w:t>
      </w:r>
      <w:r w:rsidR="00D576C5">
        <w:rPr>
          <w:rFonts w:ascii="Times New Roman" w:hAnsi="Times New Roman" w:cs="Times New Roman"/>
          <w:sz w:val="24"/>
          <w:szCs w:val="24"/>
        </w:rPr>
        <w:t xml:space="preserve">and </w:t>
      </w:r>
      <w:r w:rsidR="006B0FF9">
        <w:rPr>
          <w:rFonts w:ascii="Times New Roman" w:hAnsi="Times New Roman" w:cs="Times New Roman"/>
          <w:sz w:val="24"/>
          <w:szCs w:val="24"/>
        </w:rPr>
        <w:t>unhealthy relationships</w:t>
      </w:r>
      <w:r w:rsidR="00A92CA8">
        <w:rPr>
          <w:rStyle w:val="FootnoteReference"/>
          <w:rFonts w:ascii="Times New Roman" w:hAnsi="Times New Roman" w:cs="Times New Roman"/>
          <w:sz w:val="24"/>
          <w:szCs w:val="24"/>
        </w:rPr>
        <w:footnoteReference w:id="30"/>
      </w:r>
      <w:r w:rsidR="006B0FF9">
        <w:rPr>
          <w:rFonts w:ascii="Times New Roman" w:hAnsi="Times New Roman" w:cs="Times New Roman"/>
          <w:sz w:val="24"/>
          <w:szCs w:val="24"/>
        </w:rPr>
        <w:t>.</w:t>
      </w:r>
      <w:r w:rsidR="00185634">
        <w:rPr>
          <w:rFonts w:ascii="Times New Roman" w:hAnsi="Times New Roman" w:cs="Times New Roman"/>
          <w:sz w:val="24"/>
          <w:szCs w:val="24"/>
        </w:rPr>
        <w:t xml:space="preserve"> Parents </w:t>
      </w:r>
      <w:r w:rsidR="00E179CB">
        <w:rPr>
          <w:rFonts w:ascii="Times New Roman" w:hAnsi="Times New Roman" w:cs="Times New Roman"/>
          <w:sz w:val="24"/>
          <w:szCs w:val="24"/>
        </w:rPr>
        <w:t>valued the innocence of children</w:t>
      </w:r>
      <w:r w:rsidR="00B75FD1">
        <w:rPr>
          <w:rFonts w:ascii="Times New Roman" w:hAnsi="Times New Roman" w:cs="Times New Roman"/>
          <w:sz w:val="24"/>
          <w:szCs w:val="24"/>
        </w:rPr>
        <w:t xml:space="preserve"> </w:t>
      </w:r>
      <w:r w:rsidR="004B1E6B">
        <w:rPr>
          <w:rFonts w:ascii="Times New Roman" w:hAnsi="Times New Roman" w:cs="Times New Roman"/>
          <w:sz w:val="24"/>
          <w:szCs w:val="24"/>
        </w:rPr>
        <w:t xml:space="preserve">and that was projected by the information they gave. </w:t>
      </w:r>
      <w:r w:rsidR="00B75FD1">
        <w:rPr>
          <w:rFonts w:ascii="Times New Roman" w:hAnsi="Times New Roman" w:cs="Times New Roman"/>
          <w:sz w:val="24"/>
          <w:szCs w:val="24"/>
        </w:rPr>
        <w:t xml:space="preserve">They </w:t>
      </w:r>
      <w:r w:rsidR="0075728A">
        <w:rPr>
          <w:rFonts w:ascii="Times New Roman" w:hAnsi="Times New Roman" w:cs="Times New Roman"/>
          <w:sz w:val="24"/>
          <w:szCs w:val="24"/>
        </w:rPr>
        <w:t xml:space="preserve">were ignorant </w:t>
      </w:r>
      <w:r w:rsidR="00B545E1">
        <w:rPr>
          <w:rFonts w:ascii="Times New Roman" w:hAnsi="Times New Roman" w:cs="Times New Roman"/>
          <w:sz w:val="24"/>
          <w:szCs w:val="24"/>
        </w:rPr>
        <w:t xml:space="preserve">to the fact </w:t>
      </w:r>
      <w:r w:rsidR="0075728A">
        <w:rPr>
          <w:rFonts w:ascii="Times New Roman" w:hAnsi="Times New Roman" w:cs="Times New Roman"/>
          <w:sz w:val="24"/>
          <w:szCs w:val="24"/>
        </w:rPr>
        <w:t>t</w:t>
      </w:r>
      <w:r w:rsidR="004B0DB1">
        <w:rPr>
          <w:rFonts w:ascii="Times New Roman" w:hAnsi="Times New Roman" w:cs="Times New Roman"/>
          <w:sz w:val="24"/>
          <w:szCs w:val="24"/>
        </w:rPr>
        <w:t xml:space="preserve">hat giving attitudinal </w:t>
      </w:r>
      <w:r w:rsidR="00562384">
        <w:rPr>
          <w:rFonts w:ascii="Times New Roman" w:hAnsi="Times New Roman" w:cs="Times New Roman"/>
          <w:sz w:val="24"/>
          <w:szCs w:val="24"/>
        </w:rPr>
        <w:t xml:space="preserve">education wasn’t going to prevent their children from having sex </w:t>
      </w:r>
      <w:r w:rsidR="005B4926">
        <w:rPr>
          <w:rFonts w:ascii="Times New Roman" w:hAnsi="Times New Roman" w:cs="Times New Roman"/>
          <w:sz w:val="24"/>
          <w:szCs w:val="24"/>
        </w:rPr>
        <w:t>or</w:t>
      </w:r>
      <w:r w:rsidR="00562384">
        <w:rPr>
          <w:rFonts w:ascii="Times New Roman" w:hAnsi="Times New Roman" w:cs="Times New Roman"/>
          <w:sz w:val="24"/>
          <w:szCs w:val="24"/>
        </w:rPr>
        <w:t xml:space="preserve"> at the very least being curious about it. </w:t>
      </w:r>
      <w:r w:rsidR="00EA76A5">
        <w:rPr>
          <w:rFonts w:ascii="Times New Roman" w:hAnsi="Times New Roman" w:cs="Times New Roman"/>
          <w:sz w:val="24"/>
          <w:szCs w:val="24"/>
        </w:rPr>
        <w:t>Instead inadequate information was given, leaving children feeling</w:t>
      </w:r>
      <w:r w:rsidR="00B009FB">
        <w:rPr>
          <w:rFonts w:ascii="Times New Roman" w:hAnsi="Times New Roman" w:cs="Times New Roman"/>
          <w:sz w:val="24"/>
          <w:szCs w:val="24"/>
        </w:rPr>
        <w:t xml:space="preserve"> </w:t>
      </w:r>
      <w:r w:rsidR="00EA76A5">
        <w:rPr>
          <w:rFonts w:ascii="Times New Roman" w:hAnsi="Times New Roman" w:cs="Times New Roman"/>
          <w:sz w:val="24"/>
          <w:szCs w:val="24"/>
        </w:rPr>
        <w:t>ashamed of their sexuality</w:t>
      </w:r>
      <w:r w:rsidR="00B97B17">
        <w:rPr>
          <w:rFonts w:ascii="Times New Roman" w:hAnsi="Times New Roman" w:cs="Times New Roman"/>
          <w:sz w:val="24"/>
          <w:szCs w:val="24"/>
        </w:rPr>
        <w:t xml:space="preserve"> or embarrassed to even talk about it.</w:t>
      </w:r>
      <w:r w:rsidR="007A4F12">
        <w:rPr>
          <w:rFonts w:ascii="Times New Roman" w:hAnsi="Times New Roman" w:cs="Times New Roman"/>
          <w:sz w:val="24"/>
          <w:szCs w:val="24"/>
        </w:rPr>
        <w:t xml:space="preserve"> P</w:t>
      </w:r>
      <w:r w:rsidR="00C13651">
        <w:rPr>
          <w:rFonts w:ascii="Times New Roman" w:hAnsi="Times New Roman" w:cs="Times New Roman"/>
          <w:sz w:val="24"/>
          <w:szCs w:val="24"/>
        </w:rPr>
        <w:t xml:space="preserve">arents pressing </w:t>
      </w:r>
      <w:r w:rsidR="007A4F12">
        <w:rPr>
          <w:rFonts w:ascii="Times New Roman" w:hAnsi="Times New Roman" w:cs="Times New Roman"/>
          <w:sz w:val="24"/>
          <w:szCs w:val="24"/>
        </w:rPr>
        <w:t xml:space="preserve">values typically </w:t>
      </w:r>
      <w:r w:rsidR="00B15BB8">
        <w:rPr>
          <w:rFonts w:ascii="Times New Roman" w:hAnsi="Times New Roman" w:cs="Times New Roman"/>
          <w:sz w:val="24"/>
          <w:szCs w:val="24"/>
        </w:rPr>
        <w:t>classified as</w:t>
      </w:r>
      <w:r w:rsidR="007A4F12">
        <w:rPr>
          <w:rFonts w:ascii="Times New Roman" w:hAnsi="Times New Roman" w:cs="Times New Roman"/>
          <w:sz w:val="24"/>
          <w:szCs w:val="24"/>
        </w:rPr>
        <w:t xml:space="preserve"> “traditional” </w:t>
      </w:r>
      <w:r w:rsidR="00C13651">
        <w:rPr>
          <w:rFonts w:ascii="Times New Roman" w:hAnsi="Times New Roman" w:cs="Times New Roman"/>
          <w:sz w:val="24"/>
          <w:szCs w:val="24"/>
        </w:rPr>
        <w:t>w</w:t>
      </w:r>
      <w:r w:rsidR="00B15BB8">
        <w:rPr>
          <w:rFonts w:ascii="Times New Roman" w:hAnsi="Times New Roman" w:cs="Times New Roman"/>
          <w:sz w:val="24"/>
          <w:szCs w:val="24"/>
        </w:rPr>
        <w:t xml:space="preserve">ere </w:t>
      </w:r>
      <w:r w:rsidR="007A4F12">
        <w:rPr>
          <w:rFonts w:ascii="Times New Roman" w:hAnsi="Times New Roman" w:cs="Times New Roman"/>
          <w:sz w:val="24"/>
          <w:szCs w:val="24"/>
        </w:rPr>
        <w:t>not deterrent</w:t>
      </w:r>
      <w:r w:rsidR="00B15BB8">
        <w:rPr>
          <w:rFonts w:ascii="Times New Roman" w:hAnsi="Times New Roman" w:cs="Times New Roman"/>
          <w:sz w:val="24"/>
          <w:szCs w:val="24"/>
        </w:rPr>
        <w:t>s</w:t>
      </w:r>
      <w:r w:rsidR="00C75043">
        <w:rPr>
          <w:rFonts w:ascii="Times New Roman" w:hAnsi="Times New Roman" w:cs="Times New Roman"/>
          <w:sz w:val="24"/>
          <w:szCs w:val="24"/>
        </w:rPr>
        <w:t>, rather</w:t>
      </w:r>
      <w:r w:rsidR="006C64DF">
        <w:rPr>
          <w:rFonts w:ascii="Times New Roman" w:hAnsi="Times New Roman" w:cs="Times New Roman"/>
          <w:sz w:val="24"/>
          <w:szCs w:val="24"/>
        </w:rPr>
        <w:t xml:space="preserve"> </w:t>
      </w:r>
      <w:r w:rsidR="00706306">
        <w:rPr>
          <w:rFonts w:ascii="Times New Roman" w:hAnsi="Times New Roman" w:cs="Times New Roman"/>
          <w:sz w:val="24"/>
          <w:szCs w:val="24"/>
        </w:rPr>
        <w:t>unfruitful</w:t>
      </w:r>
      <w:r w:rsidR="00C13651">
        <w:rPr>
          <w:rFonts w:ascii="Times New Roman" w:hAnsi="Times New Roman" w:cs="Times New Roman"/>
          <w:sz w:val="24"/>
          <w:szCs w:val="24"/>
        </w:rPr>
        <w:t xml:space="preserve"> to the development </w:t>
      </w:r>
      <w:r w:rsidR="00A866B7">
        <w:rPr>
          <w:rFonts w:ascii="Times New Roman" w:hAnsi="Times New Roman" w:cs="Times New Roman"/>
          <w:sz w:val="24"/>
          <w:szCs w:val="24"/>
        </w:rPr>
        <w:t>of their children.</w:t>
      </w:r>
    </w:p>
    <w:p w14:paraId="4C09E914" w14:textId="4F58D06E" w:rsidR="00DE6741" w:rsidRDefault="006D608E" w:rsidP="00C74812">
      <w:pPr>
        <w:spacing w:line="480" w:lineRule="auto"/>
        <w:ind w:firstLine="720"/>
        <w:rPr>
          <w:rFonts w:ascii="Times New Roman" w:hAnsi="Times New Roman" w:cs="Times New Roman"/>
          <w:sz w:val="24"/>
          <w:szCs w:val="24"/>
        </w:rPr>
      </w:pPr>
      <w:r>
        <w:rPr>
          <w:rFonts w:ascii="Times New Roman" w:hAnsi="Times New Roman" w:cs="Times New Roman"/>
          <w:sz w:val="24"/>
          <w:szCs w:val="24"/>
        </w:rPr>
        <w:t>Religion has a wide influence on everyday life</w:t>
      </w:r>
      <w:r w:rsidR="00C058DB">
        <w:rPr>
          <w:rFonts w:ascii="Times New Roman" w:hAnsi="Times New Roman" w:cs="Times New Roman"/>
          <w:sz w:val="24"/>
          <w:szCs w:val="24"/>
        </w:rPr>
        <w:t xml:space="preserve"> in society</w:t>
      </w:r>
      <w:r w:rsidR="00D0097D">
        <w:rPr>
          <w:rFonts w:ascii="Times New Roman" w:hAnsi="Times New Roman" w:cs="Times New Roman"/>
          <w:sz w:val="24"/>
          <w:szCs w:val="24"/>
        </w:rPr>
        <w:t>;</w:t>
      </w:r>
      <w:r w:rsidR="003908BF">
        <w:rPr>
          <w:rFonts w:ascii="Times New Roman" w:hAnsi="Times New Roman" w:cs="Times New Roman"/>
          <w:sz w:val="24"/>
          <w:szCs w:val="24"/>
        </w:rPr>
        <w:t xml:space="preserve"> it shapes people’s perspecti</w:t>
      </w:r>
      <w:r w:rsidR="007D109B">
        <w:rPr>
          <w:rFonts w:ascii="Times New Roman" w:hAnsi="Times New Roman" w:cs="Times New Roman"/>
          <w:sz w:val="24"/>
          <w:szCs w:val="24"/>
        </w:rPr>
        <w:t xml:space="preserve">ve about </w:t>
      </w:r>
      <w:r w:rsidR="00BB64FE">
        <w:rPr>
          <w:rFonts w:ascii="Times New Roman" w:hAnsi="Times New Roman" w:cs="Times New Roman"/>
          <w:sz w:val="24"/>
          <w:szCs w:val="24"/>
        </w:rPr>
        <w:t xml:space="preserve">the world and what is </w:t>
      </w:r>
      <w:r w:rsidR="00D0097D">
        <w:rPr>
          <w:rFonts w:ascii="Times New Roman" w:hAnsi="Times New Roman" w:cs="Times New Roman"/>
          <w:sz w:val="24"/>
          <w:szCs w:val="24"/>
        </w:rPr>
        <w:t xml:space="preserve">moral and what is not. </w:t>
      </w:r>
      <w:r w:rsidR="005B7EC8">
        <w:rPr>
          <w:rFonts w:ascii="Times New Roman" w:hAnsi="Times New Roman" w:cs="Times New Roman"/>
          <w:sz w:val="24"/>
          <w:szCs w:val="24"/>
        </w:rPr>
        <w:t>In the case of education, religion has shaped every milestone</w:t>
      </w:r>
      <w:r w:rsidR="0074024F">
        <w:rPr>
          <w:rFonts w:ascii="Times New Roman" w:hAnsi="Times New Roman" w:cs="Times New Roman"/>
          <w:sz w:val="24"/>
          <w:szCs w:val="24"/>
        </w:rPr>
        <w:t xml:space="preserve"> over the last century. </w:t>
      </w:r>
      <w:r w:rsidR="00DD6DA3">
        <w:rPr>
          <w:rFonts w:ascii="Times New Roman" w:hAnsi="Times New Roman" w:cs="Times New Roman"/>
          <w:sz w:val="24"/>
          <w:szCs w:val="24"/>
        </w:rPr>
        <w:t xml:space="preserve">The key voices which led the reforms all came from highly religious background and were motivated by the values which </w:t>
      </w:r>
      <w:r w:rsidR="00671942">
        <w:rPr>
          <w:rFonts w:ascii="Times New Roman" w:hAnsi="Times New Roman" w:cs="Times New Roman"/>
          <w:sz w:val="24"/>
          <w:szCs w:val="24"/>
        </w:rPr>
        <w:t>th</w:t>
      </w:r>
      <w:r w:rsidR="00E1559D">
        <w:rPr>
          <w:rFonts w:ascii="Times New Roman" w:hAnsi="Times New Roman" w:cs="Times New Roman"/>
          <w:sz w:val="24"/>
          <w:szCs w:val="24"/>
        </w:rPr>
        <w:t>ose</w:t>
      </w:r>
      <w:r w:rsidR="00671942">
        <w:rPr>
          <w:rFonts w:ascii="Times New Roman" w:hAnsi="Times New Roman" w:cs="Times New Roman"/>
          <w:sz w:val="24"/>
          <w:szCs w:val="24"/>
        </w:rPr>
        <w:t xml:space="preserve"> religions instilled. Sexual </w:t>
      </w:r>
      <w:r w:rsidR="00F97FCC">
        <w:rPr>
          <w:rFonts w:ascii="Times New Roman" w:hAnsi="Times New Roman" w:cs="Times New Roman"/>
          <w:sz w:val="24"/>
          <w:szCs w:val="24"/>
        </w:rPr>
        <w:t xml:space="preserve">health education was created </w:t>
      </w:r>
      <w:r w:rsidR="00182071">
        <w:rPr>
          <w:rFonts w:ascii="Times New Roman" w:hAnsi="Times New Roman" w:cs="Times New Roman"/>
          <w:sz w:val="24"/>
          <w:szCs w:val="24"/>
        </w:rPr>
        <w:t>out of</w:t>
      </w:r>
      <w:r w:rsidR="00AD0DEC">
        <w:rPr>
          <w:rFonts w:ascii="Times New Roman" w:hAnsi="Times New Roman" w:cs="Times New Roman"/>
          <w:sz w:val="24"/>
          <w:szCs w:val="24"/>
        </w:rPr>
        <w:t xml:space="preserve"> social concern towards venereal disease</w:t>
      </w:r>
      <w:r w:rsidR="001941BA">
        <w:rPr>
          <w:rFonts w:ascii="Times New Roman" w:hAnsi="Times New Roman" w:cs="Times New Roman"/>
          <w:sz w:val="24"/>
          <w:szCs w:val="24"/>
        </w:rPr>
        <w:t xml:space="preserve">, as well as social control </w:t>
      </w:r>
      <w:r w:rsidR="00A866B7">
        <w:rPr>
          <w:rFonts w:ascii="Times New Roman" w:hAnsi="Times New Roman" w:cs="Times New Roman"/>
          <w:sz w:val="24"/>
          <w:szCs w:val="24"/>
        </w:rPr>
        <w:t>in regard</w:t>
      </w:r>
      <w:r w:rsidR="00AA20A2">
        <w:rPr>
          <w:rFonts w:ascii="Times New Roman" w:hAnsi="Times New Roman" w:cs="Times New Roman"/>
          <w:sz w:val="24"/>
          <w:szCs w:val="24"/>
        </w:rPr>
        <w:t xml:space="preserve"> to the </w:t>
      </w:r>
      <w:r w:rsidR="00E26595">
        <w:rPr>
          <w:rFonts w:ascii="Times New Roman" w:hAnsi="Times New Roman" w:cs="Times New Roman"/>
          <w:sz w:val="24"/>
          <w:szCs w:val="24"/>
        </w:rPr>
        <w:t xml:space="preserve">breakdown of the </w:t>
      </w:r>
      <w:r w:rsidR="00AA20A2">
        <w:rPr>
          <w:rFonts w:ascii="Times New Roman" w:hAnsi="Times New Roman" w:cs="Times New Roman"/>
          <w:sz w:val="24"/>
          <w:szCs w:val="24"/>
        </w:rPr>
        <w:t>nuclear family</w:t>
      </w:r>
      <w:r w:rsidR="00253105">
        <w:rPr>
          <w:rFonts w:ascii="Times New Roman" w:hAnsi="Times New Roman" w:cs="Times New Roman"/>
          <w:sz w:val="24"/>
          <w:szCs w:val="24"/>
        </w:rPr>
        <w:t xml:space="preserve"> and children </w:t>
      </w:r>
      <w:r w:rsidR="00D72E3C">
        <w:rPr>
          <w:rFonts w:ascii="Times New Roman" w:hAnsi="Times New Roman" w:cs="Times New Roman"/>
          <w:sz w:val="24"/>
          <w:szCs w:val="24"/>
        </w:rPr>
        <w:t>growing up to be</w:t>
      </w:r>
      <w:r w:rsidR="00253105">
        <w:rPr>
          <w:rFonts w:ascii="Times New Roman" w:hAnsi="Times New Roman" w:cs="Times New Roman"/>
          <w:sz w:val="24"/>
          <w:szCs w:val="24"/>
        </w:rPr>
        <w:t xml:space="preserve"> “uncivilized” and “immoral”. </w:t>
      </w:r>
      <w:r w:rsidR="008013DF">
        <w:rPr>
          <w:rFonts w:ascii="Times New Roman" w:hAnsi="Times New Roman" w:cs="Times New Roman"/>
          <w:sz w:val="24"/>
          <w:szCs w:val="24"/>
        </w:rPr>
        <w:t xml:space="preserve">Post WWII was </w:t>
      </w:r>
      <w:r w:rsidR="00D17C4C">
        <w:rPr>
          <w:rFonts w:ascii="Times New Roman" w:hAnsi="Times New Roman" w:cs="Times New Roman"/>
          <w:sz w:val="24"/>
          <w:szCs w:val="24"/>
        </w:rPr>
        <w:t xml:space="preserve">when more formal sexual health </w:t>
      </w:r>
      <w:r w:rsidR="00772D79">
        <w:rPr>
          <w:rFonts w:ascii="Times New Roman" w:hAnsi="Times New Roman" w:cs="Times New Roman"/>
          <w:sz w:val="24"/>
          <w:szCs w:val="24"/>
        </w:rPr>
        <w:t>education</w:t>
      </w:r>
      <w:r w:rsidR="00D17C4C">
        <w:rPr>
          <w:rFonts w:ascii="Times New Roman" w:hAnsi="Times New Roman" w:cs="Times New Roman"/>
          <w:sz w:val="24"/>
          <w:szCs w:val="24"/>
        </w:rPr>
        <w:t xml:space="preserve"> w</w:t>
      </w:r>
      <w:r w:rsidR="00772D79">
        <w:rPr>
          <w:rFonts w:ascii="Times New Roman" w:hAnsi="Times New Roman" w:cs="Times New Roman"/>
          <w:sz w:val="24"/>
          <w:szCs w:val="24"/>
        </w:rPr>
        <w:t xml:space="preserve">as </w:t>
      </w:r>
      <w:r w:rsidR="00D17C4C">
        <w:rPr>
          <w:rFonts w:ascii="Times New Roman" w:hAnsi="Times New Roman" w:cs="Times New Roman"/>
          <w:sz w:val="24"/>
          <w:szCs w:val="24"/>
        </w:rPr>
        <w:lastRenderedPageBreak/>
        <w:t>created</w:t>
      </w:r>
      <w:r w:rsidR="007B61A2">
        <w:rPr>
          <w:rFonts w:ascii="Times New Roman" w:hAnsi="Times New Roman" w:cs="Times New Roman"/>
          <w:sz w:val="24"/>
          <w:szCs w:val="24"/>
        </w:rPr>
        <w:t xml:space="preserve"> and implemented in schools.</w:t>
      </w:r>
      <w:r w:rsidR="00C041B0">
        <w:rPr>
          <w:rFonts w:ascii="Times New Roman" w:hAnsi="Times New Roman" w:cs="Times New Roman"/>
          <w:sz w:val="24"/>
          <w:szCs w:val="24"/>
        </w:rPr>
        <w:t xml:space="preserve"> Religion shaped how this information was </w:t>
      </w:r>
      <w:r w:rsidR="00834F79">
        <w:rPr>
          <w:rFonts w:ascii="Times New Roman" w:hAnsi="Times New Roman" w:cs="Times New Roman"/>
          <w:sz w:val="24"/>
          <w:szCs w:val="24"/>
        </w:rPr>
        <w:t>delivere</w:t>
      </w:r>
      <w:r w:rsidR="00EC6969">
        <w:rPr>
          <w:rFonts w:ascii="Times New Roman" w:hAnsi="Times New Roman" w:cs="Times New Roman"/>
          <w:sz w:val="24"/>
          <w:szCs w:val="24"/>
        </w:rPr>
        <w:t>d and what was taught</w:t>
      </w:r>
      <w:r w:rsidR="003D7329">
        <w:rPr>
          <w:rFonts w:ascii="Times New Roman" w:hAnsi="Times New Roman" w:cs="Times New Roman"/>
          <w:sz w:val="24"/>
          <w:szCs w:val="24"/>
        </w:rPr>
        <w:t>.</w:t>
      </w:r>
      <w:r w:rsidR="00C66707">
        <w:rPr>
          <w:rFonts w:ascii="Times New Roman" w:hAnsi="Times New Roman" w:cs="Times New Roman"/>
          <w:sz w:val="24"/>
          <w:szCs w:val="24"/>
        </w:rPr>
        <w:t xml:space="preserve"> </w:t>
      </w:r>
      <w:r w:rsidR="003D7329">
        <w:rPr>
          <w:rFonts w:ascii="Times New Roman" w:hAnsi="Times New Roman" w:cs="Times New Roman"/>
          <w:sz w:val="24"/>
          <w:szCs w:val="24"/>
        </w:rPr>
        <w:t>P</w:t>
      </w:r>
      <w:r w:rsidR="00C66707">
        <w:rPr>
          <w:rFonts w:ascii="Times New Roman" w:hAnsi="Times New Roman" w:cs="Times New Roman"/>
          <w:sz w:val="24"/>
          <w:szCs w:val="24"/>
        </w:rPr>
        <w:t>arents</w:t>
      </w:r>
      <w:r w:rsidR="00131E7A">
        <w:rPr>
          <w:rFonts w:ascii="Times New Roman" w:hAnsi="Times New Roman" w:cs="Times New Roman"/>
          <w:sz w:val="24"/>
          <w:szCs w:val="24"/>
        </w:rPr>
        <w:t xml:space="preserve"> have</w:t>
      </w:r>
      <w:r w:rsidR="00C66707">
        <w:rPr>
          <w:rFonts w:ascii="Times New Roman" w:hAnsi="Times New Roman" w:cs="Times New Roman"/>
          <w:sz w:val="24"/>
          <w:szCs w:val="24"/>
        </w:rPr>
        <w:t xml:space="preserve"> </w:t>
      </w:r>
      <w:r w:rsidR="00B94EAC">
        <w:rPr>
          <w:rFonts w:ascii="Times New Roman" w:hAnsi="Times New Roman" w:cs="Times New Roman"/>
          <w:sz w:val="24"/>
          <w:szCs w:val="24"/>
        </w:rPr>
        <w:t>disputed with</w:t>
      </w:r>
      <w:r w:rsidR="00C66707">
        <w:rPr>
          <w:rFonts w:ascii="Times New Roman" w:hAnsi="Times New Roman" w:cs="Times New Roman"/>
          <w:sz w:val="24"/>
          <w:szCs w:val="24"/>
        </w:rPr>
        <w:t xml:space="preserve"> teachers and policy makers</w:t>
      </w:r>
      <w:r w:rsidR="00B94EAC">
        <w:rPr>
          <w:rFonts w:ascii="Times New Roman" w:hAnsi="Times New Roman" w:cs="Times New Roman"/>
          <w:sz w:val="24"/>
          <w:szCs w:val="24"/>
        </w:rPr>
        <w:t xml:space="preserve"> on what their children should be taught </w:t>
      </w:r>
      <w:r w:rsidR="003D7329">
        <w:rPr>
          <w:rFonts w:ascii="Times New Roman" w:hAnsi="Times New Roman" w:cs="Times New Roman"/>
          <w:sz w:val="24"/>
          <w:szCs w:val="24"/>
        </w:rPr>
        <w:t xml:space="preserve">from the 1900’s </w:t>
      </w:r>
      <w:r w:rsidR="009C7656">
        <w:rPr>
          <w:rFonts w:ascii="Times New Roman" w:hAnsi="Times New Roman" w:cs="Times New Roman"/>
          <w:sz w:val="24"/>
          <w:szCs w:val="24"/>
        </w:rPr>
        <w:t xml:space="preserve">all the way to present day. </w:t>
      </w:r>
      <w:r w:rsidR="006E4854">
        <w:rPr>
          <w:rFonts w:ascii="Times New Roman" w:hAnsi="Times New Roman" w:cs="Times New Roman"/>
          <w:sz w:val="24"/>
          <w:szCs w:val="24"/>
        </w:rPr>
        <w:t xml:space="preserve">Curriculum has been </w:t>
      </w:r>
      <w:r w:rsidR="00A922D3">
        <w:rPr>
          <w:rFonts w:ascii="Times New Roman" w:hAnsi="Times New Roman" w:cs="Times New Roman"/>
          <w:sz w:val="24"/>
          <w:szCs w:val="24"/>
        </w:rPr>
        <w:t>distorted to fit religious ideals</w:t>
      </w:r>
      <w:r w:rsidR="00176175">
        <w:rPr>
          <w:rFonts w:ascii="Times New Roman" w:hAnsi="Times New Roman" w:cs="Times New Roman"/>
          <w:sz w:val="24"/>
          <w:szCs w:val="24"/>
        </w:rPr>
        <w:t xml:space="preserve">, </w:t>
      </w:r>
      <w:r w:rsidR="00BF4FBF">
        <w:rPr>
          <w:rFonts w:ascii="Times New Roman" w:hAnsi="Times New Roman" w:cs="Times New Roman"/>
          <w:sz w:val="24"/>
          <w:szCs w:val="24"/>
        </w:rPr>
        <w:t xml:space="preserve">this </w:t>
      </w:r>
      <w:r w:rsidR="00B31730">
        <w:rPr>
          <w:rFonts w:ascii="Times New Roman" w:hAnsi="Times New Roman" w:cs="Times New Roman"/>
          <w:sz w:val="24"/>
          <w:szCs w:val="24"/>
        </w:rPr>
        <w:t>result</w:t>
      </w:r>
      <w:r w:rsidR="00BF4FBF">
        <w:rPr>
          <w:rFonts w:ascii="Times New Roman" w:hAnsi="Times New Roman" w:cs="Times New Roman"/>
          <w:sz w:val="24"/>
          <w:szCs w:val="24"/>
        </w:rPr>
        <w:t>ed in</w:t>
      </w:r>
      <w:r w:rsidR="00176175">
        <w:rPr>
          <w:rFonts w:ascii="Times New Roman" w:hAnsi="Times New Roman" w:cs="Times New Roman"/>
          <w:sz w:val="24"/>
          <w:szCs w:val="24"/>
        </w:rPr>
        <w:t xml:space="preserve"> </w:t>
      </w:r>
      <w:r w:rsidR="009C7656">
        <w:rPr>
          <w:rFonts w:ascii="Times New Roman" w:hAnsi="Times New Roman" w:cs="Times New Roman"/>
          <w:sz w:val="24"/>
          <w:szCs w:val="24"/>
        </w:rPr>
        <w:t>students</w:t>
      </w:r>
      <w:r w:rsidR="00BF4FBF">
        <w:rPr>
          <w:rFonts w:ascii="Times New Roman" w:hAnsi="Times New Roman" w:cs="Times New Roman"/>
          <w:sz w:val="24"/>
          <w:szCs w:val="24"/>
        </w:rPr>
        <w:t xml:space="preserve"> </w:t>
      </w:r>
      <w:r w:rsidR="009C7656">
        <w:rPr>
          <w:rFonts w:ascii="Times New Roman" w:hAnsi="Times New Roman" w:cs="Times New Roman"/>
          <w:sz w:val="24"/>
          <w:szCs w:val="24"/>
        </w:rPr>
        <w:t>receiv</w:t>
      </w:r>
      <w:r w:rsidR="00BF4FBF">
        <w:rPr>
          <w:rFonts w:ascii="Times New Roman" w:hAnsi="Times New Roman" w:cs="Times New Roman"/>
          <w:sz w:val="24"/>
          <w:szCs w:val="24"/>
        </w:rPr>
        <w:t>ing</w:t>
      </w:r>
      <w:r w:rsidR="009C7656">
        <w:rPr>
          <w:rFonts w:ascii="Times New Roman" w:hAnsi="Times New Roman" w:cs="Times New Roman"/>
          <w:sz w:val="24"/>
          <w:szCs w:val="24"/>
        </w:rPr>
        <w:t xml:space="preserve"> in</w:t>
      </w:r>
      <w:r w:rsidR="00317258">
        <w:rPr>
          <w:rFonts w:ascii="Times New Roman" w:hAnsi="Times New Roman" w:cs="Times New Roman"/>
          <w:sz w:val="24"/>
          <w:szCs w:val="24"/>
        </w:rPr>
        <w:t xml:space="preserve">sufficient or inconsistent </w:t>
      </w:r>
      <w:r w:rsidR="00B31730">
        <w:rPr>
          <w:rFonts w:ascii="Times New Roman" w:hAnsi="Times New Roman" w:cs="Times New Roman"/>
          <w:sz w:val="24"/>
          <w:szCs w:val="24"/>
        </w:rPr>
        <w:t>information</w:t>
      </w:r>
      <w:r w:rsidR="00317258">
        <w:rPr>
          <w:rFonts w:ascii="Times New Roman" w:hAnsi="Times New Roman" w:cs="Times New Roman"/>
          <w:sz w:val="24"/>
          <w:szCs w:val="24"/>
        </w:rPr>
        <w:t xml:space="preserve"> about necessary topics relevant to their growth and development. </w:t>
      </w:r>
      <w:r w:rsidR="002E3FCA">
        <w:rPr>
          <w:rFonts w:ascii="Times New Roman" w:hAnsi="Times New Roman" w:cs="Times New Roman"/>
          <w:sz w:val="24"/>
          <w:szCs w:val="24"/>
        </w:rPr>
        <w:t xml:space="preserve">Students </w:t>
      </w:r>
      <w:r w:rsidR="00073A0F">
        <w:rPr>
          <w:rFonts w:ascii="Times New Roman" w:hAnsi="Times New Roman" w:cs="Times New Roman"/>
          <w:sz w:val="24"/>
          <w:szCs w:val="24"/>
        </w:rPr>
        <w:t>have voiced their opinions</w:t>
      </w:r>
      <w:r w:rsidR="00AF6D46">
        <w:rPr>
          <w:rFonts w:ascii="Times New Roman" w:hAnsi="Times New Roman" w:cs="Times New Roman"/>
          <w:sz w:val="24"/>
          <w:szCs w:val="24"/>
        </w:rPr>
        <w:t xml:space="preserve"> about </w:t>
      </w:r>
      <w:r w:rsidR="003F1547">
        <w:rPr>
          <w:rFonts w:ascii="Times New Roman" w:hAnsi="Times New Roman" w:cs="Times New Roman"/>
          <w:sz w:val="24"/>
          <w:szCs w:val="24"/>
        </w:rPr>
        <w:t>the curriculum claiming</w:t>
      </w:r>
      <w:bookmarkStart w:id="1" w:name="_GoBack"/>
      <w:bookmarkEnd w:id="1"/>
      <w:r w:rsidR="00073A0F">
        <w:rPr>
          <w:rFonts w:ascii="Times New Roman" w:hAnsi="Times New Roman" w:cs="Times New Roman"/>
          <w:sz w:val="24"/>
          <w:szCs w:val="24"/>
        </w:rPr>
        <w:t xml:space="preserve"> that they wish they had learned about topics earlier or more in depth. School boards need to be less concerned about parental </w:t>
      </w:r>
      <w:r w:rsidR="00367E52">
        <w:rPr>
          <w:rFonts w:ascii="Times New Roman" w:hAnsi="Times New Roman" w:cs="Times New Roman"/>
          <w:sz w:val="24"/>
          <w:szCs w:val="24"/>
        </w:rPr>
        <w:t>opinions on values</w:t>
      </w:r>
      <w:r w:rsidR="00073A0F">
        <w:rPr>
          <w:rFonts w:ascii="Times New Roman" w:hAnsi="Times New Roman" w:cs="Times New Roman"/>
          <w:sz w:val="24"/>
          <w:szCs w:val="24"/>
        </w:rPr>
        <w:t>, and more worried about students’ well-be</w:t>
      </w:r>
      <w:r w:rsidR="00367E52">
        <w:rPr>
          <w:rFonts w:ascii="Times New Roman" w:hAnsi="Times New Roman" w:cs="Times New Roman"/>
          <w:sz w:val="24"/>
          <w:szCs w:val="24"/>
        </w:rPr>
        <w:t xml:space="preserve">ing physically and mentally. </w:t>
      </w:r>
    </w:p>
    <w:p w14:paraId="03C7369C" w14:textId="77777777" w:rsidR="00DE6741" w:rsidRDefault="00DE6741">
      <w:pPr>
        <w:rPr>
          <w:rFonts w:ascii="Times New Roman" w:hAnsi="Times New Roman" w:cs="Times New Roman"/>
          <w:sz w:val="24"/>
          <w:szCs w:val="24"/>
        </w:rPr>
      </w:pPr>
      <w:r>
        <w:rPr>
          <w:rFonts w:ascii="Times New Roman" w:hAnsi="Times New Roman" w:cs="Times New Roman"/>
          <w:sz w:val="24"/>
          <w:szCs w:val="24"/>
        </w:rPr>
        <w:br w:type="page"/>
      </w:r>
    </w:p>
    <w:p w14:paraId="0C86AEDB" w14:textId="77777777" w:rsidR="00DE6741" w:rsidRPr="008D3E34" w:rsidRDefault="00DE6741" w:rsidP="00DE6741">
      <w:pPr>
        <w:spacing w:line="480" w:lineRule="auto"/>
        <w:jc w:val="center"/>
      </w:pPr>
      <w:r>
        <w:rPr>
          <w:rFonts w:ascii="Times New Roman" w:hAnsi="Times New Roman" w:cs="Times New Roman"/>
          <w:sz w:val="24"/>
          <w:szCs w:val="24"/>
        </w:rPr>
        <w:lastRenderedPageBreak/>
        <w:t>Bibliography</w:t>
      </w:r>
    </w:p>
    <w:p w14:paraId="25EEB32B" w14:textId="77777777" w:rsidR="00DE6741" w:rsidRDefault="00DE6741" w:rsidP="00DE6741">
      <w:pPr>
        <w:spacing w:after="0" w:line="480" w:lineRule="auto"/>
        <w:rPr>
          <w:rFonts w:ascii="Times New Roman" w:hAnsi="Times New Roman" w:cs="Times New Roman"/>
          <w:sz w:val="24"/>
          <w:szCs w:val="24"/>
        </w:rPr>
      </w:pPr>
      <w:r w:rsidRPr="00A304BA">
        <w:rPr>
          <w:rFonts w:ascii="Times New Roman" w:hAnsi="Times New Roman" w:cs="Times New Roman"/>
          <w:sz w:val="24"/>
          <w:szCs w:val="24"/>
        </w:rPr>
        <w:t>Ajzenstat, J &amp; Gentles, IJ 1988, </w:t>
      </w:r>
      <w:r w:rsidRPr="00A304BA">
        <w:rPr>
          <w:rFonts w:ascii="Times New Roman" w:hAnsi="Times New Roman" w:cs="Times New Roman"/>
          <w:i/>
          <w:iCs/>
          <w:sz w:val="24"/>
          <w:szCs w:val="24"/>
        </w:rPr>
        <w:t>Sex education in Canada : a survey of policies and programs</w:t>
      </w:r>
      <w:r w:rsidRPr="00A304BA">
        <w:rPr>
          <w:rFonts w:ascii="Times New Roman" w:hAnsi="Times New Roman" w:cs="Times New Roman"/>
          <w:sz w:val="24"/>
          <w:szCs w:val="24"/>
        </w:rPr>
        <w:t xml:space="preserve">, </w:t>
      </w:r>
    </w:p>
    <w:p w14:paraId="515C4785" w14:textId="77777777" w:rsidR="00DE6741" w:rsidRDefault="00DE6741" w:rsidP="00DE6741">
      <w:pPr>
        <w:spacing w:line="480" w:lineRule="auto"/>
        <w:ind w:left="720"/>
        <w:rPr>
          <w:rFonts w:ascii="Times New Roman" w:hAnsi="Times New Roman" w:cs="Times New Roman"/>
          <w:sz w:val="24"/>
          <w:szCs w:val="24"/>
        </w:rPr>
      </w:pPr>
      <w:r w:rsidRPr="00A304BA">
        <w:rPr>
          <w:rFonts w:ascii="Times New Roman" w:hAnsi="Times New Roman" w:cs="Times New Roman"/>
          <w:sz w:val="24"/>
          <w:szCs w:val="24"/>
        </w:rPr>
        <w:t>Human Life Research Institute reports: no. 6, Toronto, Ont. : Human Life Research Institute, c1988.</w:t>
      </w:r>
    </w:p>
    <w:p w14:paraId="5C309D6B" w14:textId="77777777" w:rsidR="00DE6741" w:rsidRDefault="00DE6741" w:rsidP="00DE6741">
      <w:pPr>
        <w:spacing w:after="0" w:line="480" w:lineRule="auto"/>
        <w:rPr>
          <w:rFonts w:ascii="Times New Roman" w:hAnsi="Times New Roman" w:cs="Times New Roman"/>
          <w:sz w:val="24"/>
          <w:szCs w:val="24"/>
        </w:rPr>
      </w:pPr>
      <w:r w:rsidRPr="00566B8D">
        <w:rPr>
          <w:rFonts w:ascii="Times New Roman" w:hAnsi="Times New Roman" w:cs="Times New Roman"/>
          <w:sz w:val="24"/>
          <w:szCs w:val="24"/>
        </w:rPr>
        <w:t xml:space="preserve">Axelrod, Paul. 2005. “Beyond the Progressive Education Debate: A Profile of Toronto Schooling </w:t>
      </w:r>
    </w:p>
    <w:p w14:paraId="5014057C" w14:textId="77777777" w:rsidR="00DE6741" w:rsidRDefault="00DE6741" w:rsidP="00DE6741">
      <w:pPr>
        <w:spacing w:line="480" w:lineRule="auto"/>
        <w:ind w:firstLine="720"/>
        <w:rPr>
          <w:rFonts w:ascii="Times New Roman" w:hAnsi="Times New Roman" w:cs="Times New Roman"/>
          <w:sz w:val="24"/>
          <w:szCs w:val="24"/>
        </w:rPr>
      </w:pPr>
      <w:r w:rsidRPr="00566B8D">
        <w:rPr>
          <w:rFonts w:ascii="Times New Roman" w:hAnsi="Times New Roman" w:cs="Times New Roman"/>
          <w:sz w:val="24"/>
          <w:szCs w:val="24"/>
        </w:rPr>
        <w:t>in the 1950</w:t>
      </w:r>
      <w:r>
        <w:rPr>
          <w:rFonts w:ascii="Times New Roman" w:hAnsi="Times New Roman" w:cs="Times New Roman"/>
          <w:sz w:val="24"/>
          <w:szCs w:val="24"/>
        </w:rPr>
        <w:t>s</w:t>
      </w:r>
      <w:r w:rsidRPr="00566B8D">
        <w:rPr>
          <w:rFonts w:ascii="Times New Roman" w:hAnsi="Times New Roman" w:cs="Times New Roman"/>
          <w:sz w:val="24"/>
          <w:szCs w:val="24"/>
        </w:rPr>
        <w:t>.” </w:t>
      </w:r>
      <w:r w:rsidRPr="00566B8D">
        <w:rPr>
          <w:rFonts w:ascii="Times New Roman" w:hAnsi="Times New Roman" w:cs="Times New Roman"/>
          <w:i/>
          <w:iCs/>
          <w:sz w:val="24"/>
          <w:szCs w:val="24"/>
        </w:rPr>
        <w:t>Historical Studies in Education</w:t>
      </w:r>
      <w:r w:rsidRPr="00566B8D">
        <w:rPr>
          <w:rFonts w:ascii="Times New Roman" w:hAnsi="Times New Roman" w:cs="Times New Roman"/>
          <w:sz w:val="24"/>
          <w:szCs w:val="24"/>
        </w:rPr>
        <w:t> 17 (2): 227–41. </w:t>
      </w:r>
    </w:p>
    <w:p w14:paraId="2B234A4D" w14:textId="77777777" w:rsidR="00DE6741" w:rsidRDefault="00DE6741" w:rsidP="00DE6741">
      <w:pPr>
        <w:spacing w:after="0" w:line="480" w:lineRule="auto"/>
        <w:rPr>
          <w:rFonts w:ascii="Times New Roman" w:hAnsi="Times New Roman" w:cs="Times New Roman"/>
          <w:sz w:val="24"/>
          <w:szCs w:val="24"/>
        </w:rPr>
      </w:pPr>
      <w:r w:rsidRPr="00144B60">
        <w:rPr>
          <w:rFonts w:ascii="Times New Roman" w:hAnsi="Times New Roman" w:cs="Times New Roman"/>
          <w:sz w:val="24"/>
          <w:szCs w:val="24"/>
        </w:rPr>
        <w:t xml:space="preserve">Causarano, N., Pole, J. D. and Flicker, S. (2010) </w:t>
      </w:r>
      <w:r>
        <w:rPr>
          <w:rFonts w:ascii="Times New Roman" w:hAnsi="Times New Roman" w:cs="Times New Roman"/>
          <w:sz w:val="24"/>
          <w:szCs w:val="24"/>
        </w:rPr>
        <w:t>“</w:t>
      </w:r>
      <w:r w:rsidRPr="00144B60">
        <w:rPr>
          <w:rFonts w:ascii="Times New Roman" w:hAnsi="Times New Roman" w:cs="Times New Roman"/>
          <w:sz w:val="24"/>
          <w:szCs w:val="24"/>
        </w:rPr>
        <w:t>Exposure to and desire for sexual health</w:t>
      </w:r>
      <w:r>
        <w:rPr>
          <w:rFonts w:ascii="Times New Roman" w:hAnsi="Times New Roman" w:cs="Times New Roman"/>
          <w:sz w:val="24"/>
          <w:szCs w:val="24"/>
        </w:rPr>
        <w:t xml:space="preserve"> </w:t>
      </w:r>
    </w:p>
    <w:p w14:paraId="03E6472A" w14:textId="77777777" w:rsidR="00DE6741" w:rsidRDefault="00DE6741" w:rsidP="00DE6741">
      <w:pPr>
        <w:spacing w:after="0" w:line="480" w:lineRule="auto"/>
        <w:ind w:firstLine="720"/>
        <w:rPr>
          <w:rFonts w:ascii="Times New Roman" w:hAnsi="Times New Roman" w:cs="Times New Roman"/>
          <w:i/>
          <w:sz w:val="24"/>
          <w:szCs w:val="24"/>
        </w:rPr>
      </w:pPr>
      <w:r w:rsidRPr="00144B60">
        <w:rPr>
          <w:rFonts w:ascii="Times New Roman" w:hAnsi="Times New Roman" w:cs="Times New Roman"/>
          <w:sz w:val="24"/>
          <w:szCs w:val="24"/>
        </w:rPr>
        <w:t>education among urban youth: Associations with religion and other factors</w:t>
      </w:r>
      <w:r>
        <w:rPr>
          <w:rFonts w:ascii="Times New Roman" w:hAnsi="Times New Roman" w:cs="Times New Roman"/>
          <w:sz w:val="24"/>
          <w:szCs w:val="24"/>
        </w:rPr>
        <w:t>”</w:t>
      </w:r>
      <w:r w:rsidRPr="00144B60">
        <w:rPr>
          <w:rFonts w:ascii="Times New Roman" w:hAnsi="Times New Roman" w:cs="Times New Roman"/>
          <w:sz w:val="24"/>
          <w:szCs w:val="24"/>
        </w:rPr>
        <w:t xml:space="preserve">, </w:t>
      </w:r>
      <w:r w:rsidRPr="00685727">
        <w:rPr>
          <w:rFonts w:ascii="Times New Roman" w:hAnsi="Times New Roman" w:cs="Times New Roman"/>
          <w:i/>
          <w:sz w:val="24"/>
          <w:szCs w:val="24"/>
        </w:rPr>
        <w:t xml:space="preserve">Canadian </w:t>
      </w:r>
    </w:p>
    <w:p w14:paraId="3444CBE8" w14:textId="77777777" w:rsidR="00DE6741" w:rsidRDefault="00DE6741" w:rsidP="00DE6741">
      <w:pPr>
        <w:spacing w:after="0" w:line="480" w:lineRule="auto"/>
        <w:ind w:firstLine="720"/>
        <w:rPr>
          <w:rFonts w:ascii="Times New Roman" w:hAnsi="Times New Roman" w:cs="Times New Roman"/>
          <w:sz w:val="24"/>
          <w:szCs w:val="24"/>
        </w:rPr>
      </w:pPr>
      <w:r w:rsidRPr="00685727">
        <w:rPr>
          <w:rFonts w:ascii="Times New Roman" w:hAnsi="Times New Roman" w:cs="Times New Roman"/>
          <w:i/>
          <w:sz w:val="24"/>
          <w:szCs w:val="24"/>
        </w:rPr>
        <w:t xml:space="preserve">Journal of Human Sexuality, </w:t>
      </w:r>
      <w:r w:rsidRPr="00144B60">
        <w:rPr>
          <w:rFonts w:ascii="Times New Roman" w:hAnsi="Times New Roman" w:cs="Times New Roman"/>
          <w:sz w:val="24"/>
          <w:szCs w:val="24"/>
        </w:rPr>
        <w:t>19(4), pp. 169–184.</w:t>
      </w:r>
    </w:p>
    <w:p w14:paraId="4E4F5F38" w14:textId="77777777" w:rsidR="00DE6741" w:rsidRDefault="00DE6741" w:rsidP="00DE6741">
      <w:pPr>
        <w:spacing w:before="240" w:after="0" w:line="480" w:lineRule="auto"/>
        <w:rPr>
          <w:rFonts w:ascii="Times New Roman" w:hAnsi="Times New Roman" w:cs="Times New Roman"/>
          <w:sz w:val="24"/>
          <w:szCs w:val="24"/>
        </w:rPr>
      </w:pPr>
      <w:r w:rsidRPr="001A4A6F">
        <w:rPr>
          <w:rFonts w:ascii="Times New Roman" w:hAnsi="Times New Roman" w:cs="Times New Roman"/>
          <w:sz w:val="24"/>
          <w:szCs w:val="24"/>
          <w:lang w:val="es-ES"/>
        </w:rPr>
        <w:t xml:space="preserve">Dimaras, Eleni, Alicia Gismondi, Matt Hurley, and Jocelyn Yu. </w:t>
      </w:r>
      <w:r w:rsidRPr="001A4A6F">
        <w:rPr>
          <w:rFonts w:ascii="Times New Roman" w:hAnsi="Times New Roman" w:cs="Times New Roman"/>
          <w:sz w:val="24"/>
          <w:szCs w:val="24"/>
        </w:rPr>
        <w:t>"Evolution of Sex Education in</w:t>
      </w:r>
      <w:r>
        <w:rPr>
          <w:rFonts w:ascii="Times New Roman" w:hAnsi="Times New Roman" w:cs="Times New Roman"/>
          <w:sz w:val="24"/>
          <w:szCs w:val="24"/>
        </w:rPr>
        <w:t xml:space="preserve"> </w:t>
      </w:r>
    </w:p>
    <w:p w14:paraId="5604BC50" w14:textId="77777777" w:rsidR="00DE6741" w:rsidRDefault="00DE6741" w:rsidP="00DE6741">
      <w:pPr>
        <w:spacing w:line="480" w:lineRule="auto"/>
        <w:ind w:left="720"/>
        <w:rPr>
          <w:rFonts w:ascii="Times New Roman" w:hAnsi="Times New Roman" w:cs="Times New Roman"/>
          <w:sz w:val="24"/>
          <w:szCs w:val="24"/>
        </w:rPr>
      </w:pPr>
      <w:r w:rsidRPr="001A4A6F">
        <w:rPr>
          <w:rFonts w:ascii="Times New Roman" w:hAnsi="Times New Roman" w:cs="Times New Roman"/>
          <w:sz w:val="24"/>
          <w:szCs w:val="24"/>
        </w:rPr>
        <w:t>Ontario." Select Subjects in the History of Ontario Education</w:t>
      </w:r>
      <w:r>
        <w:rPr>
          <w:rFonts w:ascii="Times New Roman" w:hAnsi="Times New Roman" w:cs="Times New Roman"/>
          <w:sz w:val="24"/>
          <w:szCs w:val="24"/>
        </w:rPr>
        <w:t xml:space="preserve"> </w:t>
      </w:r>
      <w:hyperlink r:id="rId7" w:history="1">
        <w:r w:rsidRPr="00B2104B">
          <w:rPr>
            <w:rStyle w:val="Hyperlink"/>
            <w:rFonts w:ascii="Times New Roman" w:hAnsi="Times New Roman" w:cs="Times New Roman"/>
            <w:sz w:val="24"/>
            <w:szCs w:val="24"/>
          </w:rPr>
          <w:t>http://curriculumhistory.org/Studies_in_Curriculum_History_and_Educational_Philosophy/Select_Subjects_in_the_History_of_Ontario_Education.html</w:t>
        </w:r>
      </w:hyperlink>
      <w:r w:rsidRPr="001A4A6F">
        <w:rPr>
          <w:rFonts w:ascii="Times New Roman" w:hAnsi="Times New Roman" w:cs="Times New Roman"/>
          <w:sz w:val="24"/>
          <w:szCs w:val="24"/>
        </w:rPr>
        <w:t>.</w:t>
      </w:r>
    </w:p>
    <w:p w14:paraId="0EB92228" w14:textId="77777777" w:rsidR="00DE6741" w:rsidRDefault="00DE6741" w:rsidP="00DE6741">
      <w:pPr>
        <w:spacing w:line="360" w:lineRule="auto"/>
        <w:rPr>
          <w:rFonts w:ascii="Times New Roman" w:hAnsi="Times New Roman" w:cs="Times New Roman"/>
          <w:sz w:val="24"/>
          <w:szCs w:val="24"/>
        </w:rPr>
      </w:pPr>
      <w:bookmarkStart w:id="2" w:name="_Hlk6574881"/>
      <w:r w:rsidRPr="000E21F5">
        <w:rPr>
          <w:rFonts w:ascii="Times New Roman" w:hAnsi="Times New Roman" w:cs="Times New Roman"/>
          <w:sz w:val="24"/>
          <w:szCs w:val="24"/>
        </w:rPr>
        <w:t>E</w:t>
      </w:r>
      <w:r>
        <w:rPr>
          <w:rFonts w:ascii="Times New Roman" w:hAnsi="Times New Roman" w:cs="Times New Roman"/>
          <w:sz w:val="24"/>
          <w:szCs w:val="24"/>
        </w:rPr>
        <w:t>dward</w:t>
      </w:r>
      <w:r w:rsidRPr="000E21F5">
        <w:rPr>
          <w:rFonts w:ascii="Times New Roman" w:hAnsi="Times New Roman" w:cs="Times New Roman"/>
          <w:sz w:val="24"/>
          <w:szCs w:val="24"/>
        </w:rPr>
        <w:t xml:space="preserve"> </w:t>
      </w:r>
      <w:r>
        <w:rPr>
          <w:rFonts w:ascii="Times New Roman" w:hAnsi="Times New Roman" w:cs="Times New Roman"/>
          <w:sz w:val="24"/>
          <w:szCs w:val="24"/>
        </w:rPr>
        <w:t>S</w:t>
      </w:r>
      <w:r w:rsidRPr="000E21F5">
        <w:rPr>
          <w:rFonts w:ascii="Times New Roman" w:hAnsi="Times New Roman" w:cs="Times New Roman"/>
          <w:sz w:val="24"/>
          <w:szCs w:val="24"/>
        </w:rPr>
        <w:t xml:space="preserve">. </w:t>
      </w:r>
      <w:r>
        <w:rPr>
          <w:rFonts w:ascii="Times New Roman" w:hAnsi="Times New Roman" w:cs="Times New Roman"/>
          <w:sz w:val="24"/>
          <w:szCs w:val="24"/>
        </w:rPr>
        <w:t>Herold</w:t>
      </w:r>
      <w:r w:rsidRPr="000E21F5">
        <w:rPr>
          <w:rFonts w:ascii="Times New Roman" w:hAnsi="Times New Roman" w:cs="Times New Roman"/>
          <w:sz w:val="24"/>
          <w:szCs w:val="24"/>
        </w:rPr>
        <w:t>, K</w:t>
      </w:r>
      <w:r>
        <w:rPr>
          <w:rFonts w:ascii="Times New Roman" w:hAnsi="Times New Roman" w:cs="Times New Roman"/>
          <w:sz w:val="24"/>
          <w:szCs w:val="24"/>
        </w:rPr>
        <w:t>athryn</w:t>
      </w:r>
      <w:r w:rsidRPr="000E21F5">
        <w:rPr>
          <w:rFonts w:ascii="Times New Roman" w:hAnsi="Times New Roman" w:cs="Times New Roman"/>
          <w:sz w:val="24"/>
          <w:szCs w:val="24"/>
        </w:rPr>
        <w:t xml:space="preserve"> E. </w:t>
      </w:r>
      <w:r>
        <w:rPr>
          <w:rFonts w:ascii="Times New Roman" w:hAnsi="Times New Roman" w:cs="Times New Roman"/>
          <w:sz w:val="24"/>
          <w:szCs w:val="24"/>
        </w:rPr>
        <w:t>Kopf</w:t>
      </w:r>
      <w:r w:rsidRPr="000E21F5">
        <w:rPr>
          <w:rFonts w:ascii="Times New Roman" w:hAnsi="Times New Roman" w:cs="Times New Roman"/>
          <w:sz w:val="24"/>
          <w:szCs w:val="24"/>
        </w:rPr>
        <w:t xml:space="preserve">, and </w:t>
      </w:r>
      <w:r>
        <w:rPr>
          <w:rFonts w:ascii="Times New Roman" w:hAnsi="Times New Roman" w:cs="Times New Roman"/>
          <w:sz w:val="24"/>
          <w:szCs w:val="24"/>
        </w:rPr>
        <w:t>Maria De Carlo</w:t>
      </w:r>
      <w:r w:rsidRPr="000E21F5">
        <w:rPr>
          <w:rFonts w:ascii="Times New Roman" w:hAnsi="Times New Roman" w:cs="Times New Roman"/>
          <w:sz w:val="24"/>
          <w:szCs w:val="24"/>
        </w:rPr>
        <w:t>. “Family Life Education: Studen</w:t>
      </w:r>
      <w:r>
        <w:rPr>
          <w:rFonts w:ascii="Times New Roman" w:hAnsi="Times New Roman" w:cs="Times New Roman"/>
          <w:sz w:val="24"/>
          <w:szCs w:val="24"/>
        </w:rPr>
        <w:t xml:space="preserve">t </w:t>
      </w:r>
    </w:p>
    <w:p w14:paraId="6F600AE1" w14:textId="77777777" w:rsidR="00DE6741" w:rsidRDefault="00DE6741" w:rsidP="00DE6741">
      <w:pPr>
        <w:spacing w:after="0" w:line="480" w:lineRule="auto"/>
        <w:ind w:firstLine="720"/>
        <w:rPr>
          <w:rFonts w:ascii="Times New Roman" w:hAnsi="Times New Roman" w:cs="Times New Roman"/>
          <w:i/>
          <w:iCs/>
          <w:sz w:val="24"/>
          <w:szCs w:val="24"/>
        </w:rPr>
      </w:pPr>
      <w:r w:rsidRPr="000E21F5">
        <w:rPr>
          <w:rFonts w:ascii="Times New Roman" w:hAnsi="Times New Roman" w:cs="Times New Roman"/>
          <w:sz w:val="24"/>
          <w:szCs w:val="24"/>
        </w:rPr>
        <w:t>Perspectives.” </w:t>
      </w:r>
      <w:r w:rsidRPr="000E21F5">
        <w:rPr>
          <w:rFonts w:ascii="Times New Roman" w:hAnsi="Times New Roman" w:cs="Times New Roman"/>
          <w:i/>
          <w:iCs/>
          <w:sz w:val="24"/>
          <w:szCs w:val="24"/>
        </w:rPr>
        <w:t xml:space="preserve">Canadian Journal of Public Health / Revue Canadienne de Sante’e </w:t>
      </w:r>
    </w:p>
    <w:p w14:paraId="528E5C56" w14:textId="77777777" w:rsidR="00DE6741" w:rsidRDefault="00DE6741" w:rsidP="00DE6741">
      <w:pPr>
        <w:spacing w:line="480" w:lineRule="auto"/>
        <w:ind w:firstLine="720"/>
        <w:rPr>
          <w:rFonts w:ascii="Times New Roman" w:hAnsi="Times New Roman" w:cs="Times New Roman"/>
          <w:sz w:val="24"/>
          <w:szCs w:val="24"/>
        </w:rPr>
      </w:pPr>
      <w:r w:rsidRPr="000E21F5">
        <w:rPr>
          <w:rFonts w:ascii="Times New Roman" w:hAnsi="Times New Roman" w:cs="Times New Roman"/>
          <w:i/>
          <w:iCs/>
          <w:sz w:val="24"/>
          <w:szCs w:val="24"/>
        </w:rPr>
        <w:t>Publique</w:t>
      </w:r>
      <w:r w:rsidRPr="000E21F5">
        <w:rPr>
          <w:rFonts w:ascii="Times New Roman" w:hAnsi="Times New Roman" w:cs="Times New Roman"/>
          <w:sz w:val="24"/>
          <w:szCs w:val="24"/>
        </w:rPr>
        <w:t> 65, no. 5 (1974): 365. </w:t>
      </w:r>
    </w:p>
    <w:bookmarkEnd w:id="2"/>
    <w:p w14:paraId="3A794029" w14:textId="77777777" w:rsidR="00DE6741" w:rsidRDefault="00DE6741" w:rsidP="00DE6741">
      <w:pPr>
        <w:spacing w:line="480" w:lineRule="auto"/>
        <w:rPr>
          <w:rFonts w:ascii="Times New Roman" w:hAnsi="Times New Roman" w:cs="Times New Roman"/>
          <w:sz w:val="24"/>
          <w:szCs w:val="24"/>
        </w:rPr>
      </w:pPr>
      <w:r w:rsidRPr="00DA3A3A">
        <w:rPr>
          <w:rFonts w:ascii="Times New Roman" w:hAnsi="Times New Roman" w:cs="Times New Roman"/>
          <w:sz w:val="24"/>
          <w:szCs w:val="24"/>
        </w:rPr>
        <w:t>G</w:t>
      </w:r>
      <w:r>
        <w:rPr>
          <w:rFonts w:ascii="Times New Roman" w:hAnsi="Times New Roman" w:cs="Times New Roman"/>
          <w:sz w:val="24"/>
          <w:szCs w:val="24"/>
        </w:rPr>
        <w:t>leason</w:t>
      </w:r>
      <w:r w:rsidRPr="00DA3A3A">
        <w:rPr>
          <w:rFonts w:ascii="Times New Roman" w:hAnsi="Times New Roman" w:cs="Times New Roman"/>
          <w:sz w:val="24"/>
          <w:szCs w:val="24"/>
        </w:rPr>
        <w:t>, M</w:t>
      </w:r>
      <w:r>
        <w:rPr>
          <w:rFonts w:ascii="Times New Roman" w:hAnsi="Times New Roman" w:cs="Times New Roman"/>
          <w:sz w:val="24"/>
          <w:szCs w:val="24"/>
        </w:rPr>
        <w:t>ona</w:t>
      </w:r>
      <w:r w:rsidRPr="00DA3A3A">
        <w:rPr>
          <w:rFonts w:ascii="Times New Roman" w:hAnsi="Times New Roman" w:cs="Times New Roman"/>
          <w:sz w:val="24"/>
          <w:szCs w:val="24"/>
        </w:rPr>
        <w:t xml:space="preserve">. 2017. </w:t>
      </w:r>
      <w:r>
        <w:rPr>
          <w:rFonts w:ascii="Times New Roman" w:hAnsi="Times New Roman" w:cs="Times New Roman"/>
          <w:sz w:val="24"/>
          <w:szCs w:val="24"/>
        </w:rPr>
        <w:t>“</w:t>
      </w:r>
      <w:r w:rsidRPr="00DA3A3A">
        <w:rPr>
          <w:rFonts w:ascii="Times New Roman" w:hAnsi="Times New Roman" w:cs="Times New Roman"/>
          <w:sz w:val="24"/>
          <w:szCs w:val="24"/>
        </w:rPr>
        <w:t xml:space="preserve">‘Knowing Something I Was Not Meant to Know’: Exploring </w:t>
      </w:r>
    </w:p>
    <w:p w14:paraId="589F3478" w14:textId="77777777" w:rsidR="00DE6741" w:rsidRDefault="00DE6741" w:rsidP="00DE6741">
      <w:pPr>
        <w:spacing w:after="0" w:line="480" w:lineRule="auto"/>
        <w:ind w:left="720"/>
        <w:rPr>
          <w:rFonts w:ascii="Times New Roman" w:hAnsi="Times New Roman" w:cs="Times New Roman"/>
          <w:sz w:val="24"/>
          <w:szCs w:val="24"/>
        </w:rPr>
      </w:pPr>
      <w:r w:rsidRPr="00DA3A3A">
        <w:rPr>
          <w:rFonts w:ascii="Times New Roman" w:hAnsi="Times New Roman" w:cs="Times New Roman"/>
          <w:sz w:val="24"/>
          <w:szCs w:val="24"/>
        </w:rPr>
        <w:t>Vulnerability, Sexuality, and Childhood, 1900-50.” </w:t>
      </w:r>
      <w:r w:rsidRPr="00DA3A3A">
        <w:rPr>
          <w:rFonts w:ascii="Times New Roman" w:hAnsi="Times New Roman" w:cs="Times New Roman"/>
          <w:i/>
          <w:iCs/>
          <w:sz w:val="24"/>
          <w:szCs w:val="24"/>
        </w:rPr>
        <w:t>Canadian Historical Review</w:t>
      </w:r>
      <w:r w:rsidRPr="00DA3A3A">
        <w:rPr>
          <w:rFonts w:ascii="Times New Roman" w:hAnsi="Times New Roman" w:cs="Times New Roman"/>
          <w:sz w:val="24"/>
          <w:szCs w:val="24"/>
        </w:rPr>
        <w:t xml:space="preserve"> 98 (1): 35. </w:t>
      </w:r>
    </w:p>
    <w:p w14:paraId="6EACB5AF" w14:textId="77777777" w:rsidR="00DE6741" w:rsidRDefault="00DE6741" w:rsidP="00DE6741">
      <w:pPr>
        <w:spacing w:after="0" w:line="480" w:lineRule="auto"/>
        <w:rPr>
          <w:rFonts w:ascii="Times New Roman" w:hAnsi="Times New Roman" w:cs="Times New Roman"/>
          <w:sz w:val="24"/>
          <w:szCs w:val="24"/>
        </w:rPr>
      </w:pPr>
      <w:r w:rsidRPr="00043E79">
        <w:rPr>
          <w:rFonts w:ascii="Times New Roman" w:hAnsi="Times New Roman" w:cs="Times New Roman"/>
          <w:sz w:val="24"/>
          <w:szCs w:val="24"/>
        </w:rPr>
        <w:t xml:space="preserve">Hutchinson Grondin, Michelle K P, "More Than Plumbing: The History of Sexual Education in </w:t>
      </w:r>
    </w:p>
    <w:p w14:paraId="72C2EF76" w14:textId="77777777" w:rsidR="00DE6741" w:rsidRDefault="00DE6741" w:rsidP="00DE6741">
      <w:pPr>
        <w:spacing w:line="480" w:lineRule="auto"/>
        <w:ind w:firstLine="720"/>
        <w:rPr>
          <w:rFonts w:ascii="Times New Roman" w:hAnsi="Times New Roman" w:cs="Times New Roman"/>
          <w:sz w:val="24"/>
          <w:szCs w:val="24"/>
        </w:rPr>
      </w:pPr>
      <w:r w:rsidRPr="00043E79">
        <w:rPr>
          <w:rFonts w:ascii="Times New Roman" w:hAnsi="Times New Roman" w:cs="Times New Roman"/>
          <w:sz w:val="24"/>
          <w:szCs w:val="24"/>
        </w:rPr>
        <w:t>Ontario, 1960-1979" (2015). Electronic Thesis and Dissertation Repository. 3457.</w:t>
      </w:r>
    </w:p>
    <w:p w14:paraId="3B69697E" w14:textId="77777777" w:rsidR="00DE6741" w:rsidRDefault="00DE6741" w:rsidP="00DE6741">
      <w:pPr>
        <w:spacing w:after="0" w:line="480" w:lineRule="auto"/>
        <w:rPr>
          <w:rFonts w:ascii="Times New Roman" w:hAnsi="Times New Roman" w:cs="Times New Roman"/>
          <w:sz w:val="24"/>
          <w:szCs w:val="24"/>
        </w:rPr>
      </w:pPr>
      <w:r w:rsidRPr="00B15381">
        <w:rPr>
          <w:rFonts w:ascii="Times New Roman" w:hAnsi="Times New Roman" w:cs="Times New Roman"/>
          <w:sz w:val="24"/>
          <w:szCs w:val="24"/>
        </w:rPr>
        <w:lastRenderedPageBreak/>
        <w:t xml:space="preserve">Holly, Lesley. </w:t>
      </w:r>
      <w:r w:rsidRPr="00B15381">
        <w:rPr>
          <w:rFonts w:ascii="Times New Roman" w:hAnsi="Times New Roman" w:cs="Times New Roman"/>
          <w:i/>
          <w:sz w:val="24"/>
          <w:szCs w:val="24"/>
        </w:rPr>
        <w:t>Girls and</w:t>
      </w:r>
      <w:r w:rsidRPr="00B15381">
        <w:rPr>
          <w:rFonts w:ascii="Times New Roman" w:hAnsi="Times New Roman" w:cs="Times New Roman"/>
          <w:sz w:val="24"/>
          <w:szCs w:val="24"/>
        </w:rPr>
        <w:t xml:space="preserve"> </w:t>
      </w:r>
      <w:r w:rsidRPr="00B15381">
        <w:rPr>
          <w:rFonts w:ascii="Times New Roman" w:hAnsi="Times New Roman" w:cs="Times New Roman"/>
          <w:i/>
          <w:sz w:val="24"/>
          <w:szCs w:val="24"/>
        </w:rPr>
        <w:t xml:space="preserve">Sexuality : Teaching and Learning. </w:t>
      </w:r>
      <w:r w:rsidRPr="00B15381">
        <w:rPr>
          <w:rFonts w:ascii="Times New Roman" w:hAnsi="Times New Roman" w:cs="Times New Roman"/>
          <w:sz w:val="24"/>
          <w:szCs w:val="24"/>
        </w:rPr>
        <w:t>Gender and Education. Open</w:t>
      </w:r>
      <w:r>
        <w:rPr>
          <w:rFonts w:ascii="Times New Roman" w:hAnsi="Times New Roman" w:cs="Times New Roman"/>
          <w:sz w:val="24"/>
          <w:szCs w:val="24"/>
        </w:rPr>
        <w:t xml:space="preserve"> </w:t>
      </w:r>
    </w:p>
    <w:p w14:paraId="5600E8B4" w14:textId="77777777" w:rsidR="00DE6741" w:rsidRDefault="00DE6741" w:rsidP="00DE6741">
      <w:pPr>
        <w:spacing w:line="480" w:lineRule="auto"/>
        <w:ind w:firstLine="720"/>
        <w:rPr>
          <w:rFonts w:ascii="Times New Roman" w:hAnsi="Times New Roman" w:cs="Times New Roman"/>
          <w:sz w:val="24"/>
          <w:szCs w:val="24"/>
        </w:rPr>
      </w:pPr>
      <w:r w:rsidRPr="00B15381">
        <w:rPr>
          <w:rFonts w:ascii="Times New Roman" w:hAnsi="Times New Roman" w:cs="Times New Roman"/>
          <w:sz w:val="24"/>
          <w:szCs w:val="24"/>
        </w:rPr>
        <w:t xml:space="preserve">University Press, 1989. </w:t>
      </w:r>
    </w:p>
    <w:p w14:paraId="7BEC2ABD" w14:textId="77777777" w:rsidR="00DE6741" w:rsidRDefault="00DE6741" w:rsidP="00DE6741">
      <w:pPr>
        <w:spacing w:after="0" w:line="480" w:lineRule="auto"/>
        <w:rPr>
          <w:rFonts w:ascii="Times New Roman" w:hAnsi="Times New Roman" w:cs="Times New Roman"/>
          <w:sz w:val="24"/>
          <w:szCs w:val="24"/>
        </w:rPr>
      </w:pPr>
      <w:bookmarkStart w:id="3" w:name="_Hlk6580131"/>
      <w:r w:rsidRPr="008F4736">
        <w:rPr>
          <w:rFonts w:ascii="Times New Roman" w:hAnsi="Times New Roman" w:cs="Times New Roman"/>
          <w:sz w:val="24"/>
          <w:szCs w:val="24"/>
        </w:rPr>
        <w:t>Pomeroy, Wardell Baxter. </w:t>
      </w:r>
      <w:r w:rsidRPr="008F4736">
        <w:rPr>
          <w:rFonts w:ascii="Times New Roman" w:hAnsi="Times New Roman" w:cs="Times New Roman"/>
          <w:i/>
          <w:iCs/>
          <w:sz w:val="24"/>
          <w:szCs w:val="24"/>
        </w:rPr>
        <w:t>Your Child and Sex; a Guide for Parents</w:t>
      </w:r>
      <w:r w:rsidRPr="008F4736">
        <w:rPr>
          <w:rFonts w:ascii="Times New Roman" w:hAnsi="Times New Roman" w:cs="Times New Roman"/>
          <w:sz w:val="24"/>
          <w:szCs w:val="24"/>
        </w:rPr>
        <w:t xml:space="preserve">. New York: Delacorte Press, </w:t>
      </w:r>
    </w:p>
    <w:p w14:paraId="2E307D56" w14:textId="77777777" w:rsidR="00DE6741" w:rsidRDefault="00DE6741" w:rsidP="00DE6741">
      <w:pPr>
        <w:spacing w:line="480" w:lineRule="auto"/>
        <w:ind w:firstLine="720"/>
        <w:rPr>
          <w:rFonts w:ascii="Times New Roman" w:hAnsi="Times New Roman" w:cs="Times New Roman"/>
          <w:sz w:val="24"/>
          <w:szCs w:val="24"/>
        </w:rPr>
      </w:pPr>
      <w:r w:rsidRPr="008F4736">
        <w:rPr>
          <w:rFonts w:ascii="Times New Roman" w:hAnsi="Times New Roman" w:cs="Times New Roman"/>
          <w:sz w:val="24"/>
          <w:szCs w:val="24"/>
        </w:rPr>
        <w:t>[1974], 1974.</w:t>
      </w:r>
    </w:p>
    <w:bookmarkEnd w:id="3"/>
    <w:p w14:paraId="15451CA5" w14:textId="77777777" w:rsidR="00DE6741" w:rsidRDefault="00DE6741" w:rsidP="00DE6741">
      <w:pPr>
        <w:spacing w:after="0" w:line="480" w:lineRule="auto"/>
        <w:rPr>
          <w:rFonts w:ascii="Times New Roman" w:hAnsi="Times New Roman" w:cs="Times New Roman"/>
          <w:sz w:val="24"/>
          <w:szCs w:val="24"/>
        </w:rPr>
      </w:pPr>
      <w:r w:rsidRPr="007F127F">
        <w:rPr>
          <w:rFonts w:ascii="Times New Roman" w:hAnsi="Times New Roman" w:cs="Times New Roman"/>
          <w:sz w:val="24"/>
          <w:szCs w:val="24"/>
        </w:rPr>
        <w:t xml:space="preserve">Sethna, Christabelle. “Animal Sex: Purity Education and the Naturalization of the Abstinence </w:t>
      </w:r>
    </w:p>
    <w:p w14:paraId="17689599" w14:textId="77777777" w:rsidR="00DE6741" w:rsidRDefault="00DE6741" w:rsidP="00DE6741">
      <w:pPr>
        <w:spacing w:line="480" w:lineRule="auto"/>
        <w:ind w:firstLine="720"/>
        <w:rPr>
          <w:rFonts w:ascii="Times New Roman" w:hAnsi="Times New Roman" w:cs="Times New Roman"/>
          <w:sz w:val="24"/>
          <w:szCs w:val="24"/>
        </w:rPr>
      </w:pPr>
      <w:r w:rsidRPr="007F127F">
        <w:rPr>
          <w:rFonts w:ascii="Times New Roman" w:hAnsi="Times New Roman" w:cs="Times New Roman"/>
          <w:sz w:val="24"/>
          <w:szCs w:val="24"/>
        </w:rPr>
        <w:t>Agenda.” </w:t>
      </w:r>
      <w:r w:rsidRPr="007F127F">
        <w:rPr>
          <w:rFonts w:ascii="Times New Roman" w:hAnsi="Times New Roman" w:cs="Times New Roman"/>
          <w:i/>
          <w:iCs/>
          <w:sz w:val="24"/>
          <w:szCs w:val="24"/>
        </w:rPr>
        <w:t>Sex Education</w:t>
      </w:r>
      <w:r w:rsidRPr="007F127F">
        <w:rPr>
          <w:rFonts w:ascii="Times New Roman" w:hAnsi="Times New Roman" w:cs="Times New Roman"/>
          <w:sz w:val="24"/>
          <w:szCs w:val="24"/>
        </w:rPr>
        <w:t> 10, no. 3 (August 2010): 267–79</w:t>
      </w:r>
      <w:r>
        <w:rPr>
          <w:rFonts w:ascii="Times New Roman" w:hAnsi="Times New Roman" w:cs="Times New Roman"/>
          <w:sz w:val="24"/>
          <w:szCs w:val="24"/>
        </w:rPr>
        <w:t>.</w:t>
      </w:r>
    </w:p>
    <w:p w14:paraId="223FD624" w14:textId="77777777" w:rsidR="00DE6741" w:rsidRDefault="00DE6741" w:rsidP="00DE6741">
      <w:pPr>
        <w:spacing w:after="0" w:line="480" w:lineRule="auto"/>
        <w:rPr>
          <w:rFonts w:ascii="Times New Roman" w:hAnsi="Times New Roman" w:cs="Times New Roman"/>
          <w:sz w:val="24"/>
          <w:szCs w:val="24"/>
        </w:rPr>
      </w:pPr>
      <w:r w:rsidRPr="00C2368C">
        <w:rPr>
          <w:rFonts w:ascii="Times New Roman" w:hAnsi="Times New Roman" w:cs="Times New Roman"/>
          <w:sz w:val="24"/>
          <w:szCs w:val="24"/>
        </w:rPr>
        <w:t xml:space="preserve">Sethna, Christabelle L. "The Facts of Life: The Sex Instruction Of Ontario Public School </w:t>
      </w:r>
    </w:p>
    <w:p w14:paraId="0606E877" w14:textId="77777777" w:rsidR="00DE6741" w:rsidRDefault="00DE6741" w:rsidP="00DE6741">
      <w:pPr>
        <w:spacing w:line="480" w:lineRule="auto"/>
        <w:ind w:firstLine="720"/>
        <w:rPr>
          <w:rFonts w:ascii="Times New Roman" w:hAnsi="Times New Roman" w:cs="Times New Roman"/>
          <w:sz w:val="24"/>
          <w:szCs w:val="24"/>
        </w:rPr>
      </w:pPr>
      <w:r w:rsidRPr="00C2368C">
        <w:rPr>
          <w:rFonts w:ascii="Times New Roman" w:hAnsi="Times New Roman" w:cs="Times New Roman"/>
          <w:sz w:val="24"/>
          <w:szCs w:val="24"/>
        </w:rPr>
        <w:t>Children, 1900-1950."</w:t>
      </w:r>
      <w:r>
        <w:rPr>
          <w:rFonts w:ascii="Times New Roman" w:hAnsi="Times New Roman" w:cs="Times New Roman"/>
          <w:sz w:val="24"/>
          <w:szCs w:val="24"/>
        </w:rPr>
        <w:t xml:space="preserve"> (1995). </w:t>
      </w:r>
    </w:p>
    <w:p w14:paraId="5210D859" w14:textId="77777777" w:rsidR="00DE6741" w:rsidRDefault="00DE6741" w:rsidP="00DE6741">
      <w:pPr>
        <w:spacing w:after="0" w:line="480" w:lineRule="auto"/>
        <w:rPr>
          <w:rFonts w:ascii="Times New Roman" w:hAnsi="Times New Roman" w:cs="Times New Roman"/>
          <w:sz w:val="24"/>
          <w:szCs w:val="24"/>
        </w:rPr>
      </w:pPr>
      <w:r w:rsidRPr="00FD581F">
        <w:rPr>
          <w:rFonts w:ascii="Times New Roman" w:hAnsi="Times New Roman" w:cs="Times New Roman"/>
          <w:sz w:val="24"/>
          <w:szCs w:val="24"/>
        </w:rPr>
        <w:t xml:space="preserve">Tupper, Kenneth W. 2014. “Sex, Drugs and the Honour Roll: The Perennial Challenges of </w:t>
      </w:r>
    </w:p>
    <w:p w14:paraId="6B48B43B" w14:textId="77777777" w:rsidR="00DE6741" w:rsidRDefault="00DE6741" w:rsidP="00DE6741">
      <w:pPr>
        <w:spacing w:line="480" w:lineRule="auto"/>
        <w:ind w:firstLine="720"/>
        <w:rPr>
          <w:rFonts w:ascii="Times New Roman" w:hAnsi="Times New Roman" w:cs="Times New Roman"/>
          <w:sz w:val="24"/>
          <w:szCs w:val="24"/>
        </w:rPr>
      </w:pPr>
      <w:r w:rsidRPr="00FD581F">
        <w:rPr>
          <w:rFonts w:ascii="Times New Roman" w:hAnsi="Times New Roman" w:cs="Times New Roman"/>
          <w:sz w:val="24"/>
          <w:szCs w:val="24"/>
        </w:rPr>
        <w:t>Addressing Moral Purity Issues in Schools.” </w:t>
      </w:r>
      <w:r w:rsidRPr="00FD581F">
        <w:rPr>
          <w:rFonts w:ascii="Times New Roman" w:hAnsi="Times New Roman" w:cs="Times New Roman"/>
          <w:i/>
          <w:iCs/>
          <w:sz w:val="24"/>
          <w:szCs w:val="24"/>
        </w:rPr>
        <w:t>Critical Public Health</w:t>
      </w:r>
      <w:r w:rsidRPr="00FD581F">
        <w:rPr>
          <w:rFonts w:ascii="Times New Roman" w:hAnsi="Times New Roman" w:cs="Times New Roman"/>
          <w:sz w:val="24"/>
          <w:szCs w:val="24"/>
        </w:rPr>
        <w:t> 24 (2): 115–31. </w:t>
      </w:r>
    </w:p>
    <w:p w14:paraId="5F373CD5" w14:textId="77777777" w:rsidR="00DE6741" w:rsidRDefault="00DE6741" w:rsidP="00DE6741">
      <w:pPr>
        <w:pStyle w:val="NormalWeb"/>
        <w:ind w:left="567" w:hanging="567"/>
      </w:pPr>
      <w:r>
        <w:t xml:space="preserve">Teitel, Emma. “A New School Holiday for Ignorance.” </w:t>
      </w:r>
      <w:r>
        <w:rPr>
          <w:i/>
          <w:iCs/>
        </w:rPr>
        <w:t>Macleans.ca</w:t>
      </w:r>
      <w:r>
        <w:t xml:space="preserve">, Macleans Magazine, 20 </w:t>
      </w:r>
    </w:p>
    <w:p w14:paraId="6525ABE4" w14:textId="77777777" w:rsidR="00DE6741" w:rsidRPr="008E2853" w:rsidRDefault="00DE6741" w:rsidP="00DE6741">
      <w:pPr>
        <w:pStyle w:val="NormalWeb"/>
        <w:spacing w:line="480" w:lineRule="auto"/>
        <w:ind w:left="567"/>
        <w:rPr>
          <w:lang w:val="fr-FR"/>
        </w:rPr>
      </w:pPr>
      <w:r w:rsidRPr="008E2853">
        <w:rPr>
          <w:lang w:val="fr-FR"/>
        </w:rPr>
        <w:t>Sept. 2012, www.macleans.ca/general/a-new-holdiay-for-ignorance-thank-you/.</w:t>
      </w:r>
    </w:p>
    <w:p w14:paraId="714034F9" w14:textId="77777777" w:rsidR="00DE6741" w:rsidRDefault="00DE6741" w:rsidP="00DE6741">
      <w:pPr>
        <w:spacing w:before="240" w:after="0" w:line="480" w:lineRule="auto"/>
        <w:rPr>
          <w:rFonts w:ascii="Times New Roman" w:hAnsi="Times New Roman" w:cs="Times New Roman"/>
          <w:sz w:val="24"/>
          <w:szCs w:val="24"/>
        </w:rPr>
      </w:pPr>
      <w:r w:rsidRPr="004731C8">
        <w:rPr>
          <w:rFonts w:ascii="Times New Roman" w:hAnsi="Times New Roman" w:cs="Times New Roman"/>
          <w:sz w:val="24"/>
          <w:szCs w:val="24"/>
        </w:rPr>
        <w:t xml:space="preserve">"Curriculum I-29. Physical and Health Education, Intermediate Division. 1966 : Ontario. </w:t>
      </w:r>
    </w:p>
    <w:p w14:paraId="473D2AEB" w14:textId="77777777" w:rsidR="00DE6741" w:rsidRDefault="00DE6741" w:rsidP="00DE6741">
      <w:pPr>
        <w:spacing w:line="480" w:lineRule="auto"/>
        <w:ind w:left="720"/>
        <w:rPr>
          <w:rFonts w:ascii="Times New Roman" w:hAnsi="Times New Roman" w:cs="Times New Roman"/>
          <w:sz w:val="24"/>
          <w:szCs w:val="24"/>
        </w:rPr>
      </w:pPr>
      <w:r w:rsidRPr="004731C8">
        <w:rPr>
          <w:rFonts w:ascii="Times New Roman" w:hAnsi="Times New Roman" w:cs="Times New Roman"/>
          <w:sz w:val="24"/>
          <w:szCs w:val="24"/>
        </w:rPr>
        <w:t xml:space="preserve">Department of Education : Free Download, Borrow, and Streaming." Full Text of "Passing". January 01, 1966. </w:t>
      </w:r>
    </w:p>
    <w:p w14:paraId="10A459F5" w14:textId="77777777" w:rsidR="00DE6741" w:rsidRDefault="00DE6741" w:rsidP="00DE6741">
      <w:pPr>
        <w:spacing w:after="0" w:line="480" w:lineRule="auto"/>
        <w:rPr>
          <w:rFonts w:ascii="Times New Roman" w:hAnsi="Times New Roman" w:cs="Times New Roman"/>
          <w:sz w:val="24"/>
          <w:szCs w:val="24"/>
        </w:rPr>
      </w:pPr>
      <w:r w:rsidRPr="00381B59">
        <w:rPr>
          <w:rFonts w:ascii="Times New Roman" w:hAnsi="Times New Roman" w:cs="Times New Roman"/>
          <w:sz w:val="24"/>
          <w:szCs w:val="24"/>
        </w:rPr>
        <w:t xml:space="preserve">"Physical and Health Education. Curriculum Guideline for the Intermediate Division. 1978 : </w:t>
      </w:r>
    </w:p>
    <w:p w14:paraId="0C1BC4A7" w14:textId="77777777" w:rsidR="00DE6741" w:rsidRDefault="00DE6741" w:rsidP="00DE6741">
      <w:pPr>
        <w:spacing w:line="480" w:lineRule="auto"/>
        <w:ind w:left="720"/>
        <w:rPr>
          <w:rFonts w:ascii="Times New Roman" w:hAnsi="Times New Roman" w:cs="Times New Roman"/>
          <w:sz w:val="24"/>
          <w:szCs w:val="24"/>
        </w:rPr>
      </w:pPr>
      <w:r w:rsidRPr="00381B59">
        <w:rPr>
          <w:rFonts w:ascii="Times New Roman" w:hAnsi="Times New Roman" w:cs="Times New Roman"/>
          <w:sz w:val="24"/>
          <w:szCs w:val="24"/>
        </w:rPr>
        <w:t xml:space="preserve">Ontario. Ministry of Education : Free Download, Borrow, and Streaming." Full Text of "Passing". January 01, 1978. </w:t>
      </w:r>
    </w:p>
    <w:p w14:paraId="2053FA6F" w14:textId="77777777" w:rsidR="00DE6741" w:rsidRDefault="00DE6741" w:rsidP="00DE6741">
      <w:pPr>
        <w:spacing w:after="0" w:line="480" w:lineRule="auto"/>
        <w:rPr>
          <w:rFonts w:ascii="Times New Roman" w:hAnsi="Times New Roman" w:cs="Times New Roman"/>
          <w:sz w:val="24"/>
          <w:szCs w:val="24"/>
        </w:rPr>
      </w:pPr>
      <w:r w:rsidRPr="001F4F25">
        <w:rPr>
          <w:rFonts w:ascii="Times New Roman" w:hAnsi="Times New Roman" w:cs="Times New Roman"/>
          <w:sz w:val="24"/>
          <w:szCs w:val="24"/>
        </w:rPr>
        <w:t>"Ontario Health Education Curriculum 1998." Parents Alliance of Ontario.</w:t>
      </w:r>
      <w:r>
        <w:rPr>
          <w:rFonts w:ascii="Times New Roman" w:hAnsi="Times New Roman" w:cs="Times New Roman"/>
          <w:sz w:val="24"/>
          <w:szCs w:val="24"/>
        </w:rPr>
        <w:t xml:space="preserve"> </w:t>
      </w:r>
    </w:p>
    <w:p w14:paraId="50BB3DE7" w14:textId="77777777" w:rsidR="00DE6741" w:rsidRDefault="00DE6741" w:rsidP="00DE6741">
      <w:pPr>
        <w:spacing w:line="480" w:lineRule="auto"/>
        <w:ind w:firstLine="720"/>
        <w:rPr>
          <w:rFonts w:ascii="Times New Roman" w:hAnsi="Times New Roman" w:cs="Times New Roman"/>
          <w:sz w:val="24"/>
          <w:szCs w:val="24"/>
        </w:rPr>
      </w:pPr>
      <w:r w:rsidRPr="001F4F25">
        <w:rPr>
          <w:rFonts w:ascii="Times New Roman" w:hAnsi="Times New Roman" w:cs="Times New Roman"/>
          <w:sz w:val="24"/>
          <w:szCs w:val="24"/>
        </w:rPr>
        <w:t>http://www.parentsalliance.ca/downloads/curriculum.</w:t>
      </w:r>
    </w:p>
    <w:p w14:paraId="1952F3A8" w14:textId="77777777" w:rsidR="00961EC6" w:rsidRPr="00B14F61" w:rsidRDefault="00961EC6" w:rsidP="00C74812">
      <w:pPr>
        <w:spacing w:line="480" w:lineRule="auto"/>
        <w:ind w:firstLine="720"/>
        <w:rPr>
          <w:rFonts w:ascii="Times New Roman" w:hAnsi="Times New Roman" w:cs="Times New Roman"/>
          <w:sz w:val="24"/>
          <w:szCs w:val="24"/>
        </w:rPr>
      </w:pPr>
    </w:p>
    <w:sectPr w:rsidR="00961EC6" w:rsidRPr="00B14F6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4BC64" w14:textId="77777777" w:rsidR="00BB3B7F" w:rsidRDefault="00BB3B7F" w:rsidP="00DA4DE3">
      <w:pPr>
        <w:spacing w:after="0" w:line="240" w:lineRule="auto"/>
      </w:pPr>
      <w:r>
        <w:separator/>
      </w:r>
    </w:p>
  </w:endnote>
  <w:endnote w:type="continuationSeparator" w:id="0">
    <w:p w14:paraId="77A57A1D" w14:textId="77777777" w:rsidR="00BB3B7F" w:rsidRDefault="00BB3B7F" w:rsidP="00DA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5D34E" w14:textId="77777777" w:rsidR="00BB3B7F" w:rsidRDefault="00BB3B7F" w:rsidP="00DA4DE3">
      <w:pPr>
        <w:spacing w:after="0" w:line="240" w:lineRule="auto"/>
      </w:pPr>
      <w:r>
        <w:separator/>
      </w:r>
    </w:p>
  </w:footnote>
  <w:footnote w:type="continuationSeparator" w:id="0">
    <w:p w14:paraId="7C9B9B35" w14:textId="77777777" w:rsidR="00BB3B7F" w:rsidRDefault="00BB3B7F" w:rsidP="00DA4DE3">
      <w:pPr>
        <w:spacing w:after="0" w:line="240" w:lineRule="auto"/>
      </w:pPr>
      <w:r>
        <w:continuationSeparator/>
      </w:r>
    </w:p>
  </w:footnote>
  <w:footnote w:id="1">
    <w:p w14:paraId="33F7EB05" w14:textId="0887A2F1" w:rsidR="00DA4DE3" w:rsidRPr="006D5E26" w:rsidRDefault="00DA4DE3" w:rsidP="00DA4DE3">
      <w:pPr>
        <w:pStyle w:val="FootnoteText"/>
        <w:rPr>
          <w:i/>
        </w:rPr>
      </w:pPr>
      <w:r>
        <w:rPr>
          <w:rStyle w:val="FootnoteReference"/>
        </w:rPr>
        <w:footnoteRef/>
      </w:r>
      <w:r>
        <w:t xml:space="preserve"> Sethna, Christabelle. </w:t>
      </w:r>
      <w:r w:rsidRPr="006D5E26">
        <w:rPr>
          <w:i/>
        </w:rPr>
        <w:t xml:space="preserve">Animal Sex: Purity Education and the Naturalization of the Abstinence </w:t>
      </w:r>
    </w:p>
    <w:p w14:paraId="608AC9B1" w14:textId="5682B67D" w:rsidR="00DA4DE3" w:rsidRDefault="00DA4DE3" w:rsidP="00DA4DE3">
      <w:pPr>
        <w:pStyle w:val="FootnoteText"/>
      </w:pPr>
      <w:r w:rsidRPr="006D5E26">
        <w:rPr>
          <w:i/>
        </w:rPr>
        <w:t>Agenda.</w:t>
      </w:r>
      <w:r>
        <w:t xml:space="preserve"> Sex Education 10, no. 3 (August 2010): 267</w:t>
      </w:r>
      <w:r w:rsidR="00F363FF">
        <w:t>.</w:t>
      </w:r>
    </w:p>
  </w:footnote>
  <w:footnote w:id="2">
    <w:p w14:paraId="121022A0" w14:textId="58F7A4B1" w:rsidR="00F363FF" w:rsidRDefault="00F363FF">
      <w:pPr>
        <w:pStyle w:val="FootnoteText"/>
      </w:pPr>
      <w:r>
        <w:rPr>
          <w:rStyle w:val="FootnoteReference"/>
        </w:rPr>
        <w:footnoteRef/>
      </w:r>
      <w:r>
        <w:t xml:space="preserve"> Ibid.</w:t>
      </w:r>
    </w:p>
  </w:footnote>
  <w:footnote w:id="3">
    <w:p w14:paraId="628B9CA6" w14:textId="3915B956" w:rsidR="00F363FF" w:rsidRDefault="00F363FF">
      <w:pPr>
        <w:pStyle w:val="FootnoteText"/>
      </w:pPr>
      <w:r>
        <w:rPr>
          <w:rStyle w:val="FootnoteReference"/>
        </w:rPr>
        <w:footnoteRef/>
      </w:r>
      <w:r>
        <w:t xml:space="preserve"> Ibid.</w:t>
      </w:r>
    </w:p>
  </w:footnote>
  <w:footnote w:id="4">
    <w:p w14:paraId="6897009E" w14:textId="518F65F4" w:rsidR="00BA194D" w:rsidRPr="006D5E26" w:rsidRDefault="00BA194D">
      <w:pPr>
        <w:pStyle w:val="FootnoteText"/>
      </w:pPr>
      <w:r>
        <w:rPr>
          <w:rStyle w:val="FootnoteReference"/>
        </w:rPr>
        <w:footnoteRef/>
      </w:r>
      <w:r>
        <w:t xml:space="preserve"> Sethna, </w:t>
      </w:r>
      <w:r w:rsidR="006D5E26">
        <w:rPr>
          <w:i/>
        </w:rPr>
        <w:t>Purity Education,</w:t>
      </w:r>
      <w:r w:rsidR="006D5E26">
        <w:t xml:space="preserve"> 268. </w:t>
      </w:r>
    </w:p>
  </w:footnote>
  <w:footnote w:id="5">
    <w:p w14:paraId="520EB88E" w14:textId="4CD11D7D" w:rsidR="00F044B7" w:rsidRPr="00DA24F0" w:rsidRDefault="00F044B7" w:rsidP="00F044B7">
      <w:pPr>
        <w:pStyle w:val="FootnoteText"/>
      </w:pPr>
      <w:r>
        <w:rPr>
          <w:rStyle w:val="FootnoteReference"/>
        </w:rPr>
        <w:footnoteRef/>
      </w:r>
      <w:r>
        <w:t xml:space="preserve"> Gleason, Mona. 2017</w:t>
      </w:r>
      <w:r w:rsidRPr="00DA24F0">
        <w:t xml:space="preserve">. </w:t>
      </w:r>
      <w:r w:rsidR="00DA24F0">
        <w:t>“</w:t>
      </w:r>
      <w:r w:rsidRPr="00DA24F0">
        <w:t xml:space="preserve">‘Knowing Something I Was Not Meant to Know’: Exploring </w:t>
      </w:r>
    </w:p>
    <w:p w14:paraId="711EA03A" w14:textId="2AA7ED1B" w:rsidR="00F044B7" w:rsidRDefault="00F044B7" w:rsidP="00F044B7">
      <w:pPr>
        <w:pStyle w:val="FootnoteText"/>
      </w:pPr>
      <w:r w:rsidRPr="00DA24F0">
        <w:t>Vulnerability, Sexuality, and Childhood</w:t>
      </w:r>
      <w:r w:rsidRPr="00F044B7">
        <w:rPr>
          <w:i/>
        </w:rPr>
        <w:t>, 1900-50</w:t>
      </w:r>
      <w:r w:rsidR="0050797E">
        <w:rPr>
          <w:i/>
        </w:rPr>
        <w:t>”.</w:t>
      </w:r>
      <w:r>
        <w:rPr>
          <w:i/>
        </w:rPr>
        <w:t xml:space="preserve"> </w:t>
      </w:r>
      <w:r>
        <w:t>Canadian Historical Review 98 (1): 44.</w:t>
      </w:r>
    </w:p>
  </w:footnote>
  <w:footnote w:id="6">
    <w:p w14:paraId="2BC75821" w14:textId="587C5211" w:rsidR="00F044B7" w:rsidRPr="0050797E" w:rsidRDefault="00F044B7">
      <w:pPr>
        <w:pStyle w:val="FootnoteText"/>
      </w:pPr>
      <w:r>
        <w:rPr>
          <w:rStyle w:val="FootnoteReference"/>
        </w:rPr>
        <w:footnoteRef/>
      </w:r>
      <w:r>
        <w:t xml:space="preserve"> Gleason</w:t>
      </w:r>
      <w:r w:rsidRPr="0050797E">
        <w:t xml:space="preserve">, </w:t>
      </w:r>
      <w:r w:rsidR="0050797E">
        <w:t>“</w:t>
      </w:r>
      <w:r w:rsidRPr="0050797E">
        <w:t>Vulnerability, Sexuality and Childhood</w:t>
      </w:r>
      <w:r w:rsidR="0050797E">
        <w:t>”</w:t>
      </w:r>
      <w:r w:rsidRPr="0050797E">
        <w:t>, 44.</w:t>
      </w:r>
    </w:p>
  </w:footnote>
  <w:footnote w:id="7">
    <w:p w14:paraId="59F204EC" w14:textId="377535A2" w:rsidR="00023078" w:rsidRPr="0050797E" w:rsidRDefault="00023078">
      <w:pPr>
        <w:pStyle w:val="FootnoteText"/>
      </w:pPr>
      <w:r w:rsidRPr="0050797E">
        <w:rPr>
          <w:rStyle w:val="FootnoteReference"/>
        </w:rPr>
        <w:footnoteRef/>
      </w:r>
      <w:r w:rsidRPr="0050797E">
        <w:t xml:space="preserve"> Gleason, </w:t>
      </w:r>
      <w:r w:rsidR="0050797E">
        <w:t>“</w:t>
      </w:r>
      <w:r w:rsidRPr="0050797E">
        <w:t>Vulnerability, Sexuality and Childhood</w:t>
      </w:r>
      <w:r w:rsidR="0050797E">
        <w:t>”</w:t>
      </w:r>
      <w:r w:rsidRPr="0050797E">
        <w:t>,</w:t>
      </w:r>
      <w:r w:rsidR="008F5D6F" w:rsidRPr="0050797E">
        <w:t xml:space="preserve"> 48.</w:t>
      </w:r>
    </w:p>
  </w:footnote>
  <w:footnote w:id="8">
    <w:p w14:paraId="28F4F017" w14:textId="4080808D" w:rsidR="00DB3DF8" w:rsidRPr="0050797E" w:rsidRDefault="00DB3DF8" w:rsidP="00DB3DF8">
      <w:pPr>
        <w:pStyle w:val="FootnoteText"/>
      </w:pPr>
      <w:r w:rsidRPr="0050797E">
        <w:rPr>
          <w:rStyle w:val="FootnoteReference"/>
        </w:rPr>
        <w:footnoteRef/>
      </w:r>
      <w:r w:rsidRPr="0050797E">
        <w:t xml:space="preserve"> Axelrod, Paul. 2005. </w:t>
      </w:r>
      <w:r w:rsidR="0050797E">
        <w:t>“</w:t>
      </w:r>
      <w:r w:rsidRPr="0050797E">
        <w:t xml:space="preserve">Beyond the Progressive Education Debate: A Profile of Toronto Schooling </w:t>
      </w:r>
    </w:p>
    <w:p w14:paraId="4391E17F" w14:textId="7D24DCFC" w:rsidR="00DB3DF8" w:rsidRPr="0050797E" w:rsidRDefault="00DB3DF8" w:rsidP="00DB3DF8">
      <w:pPr>
        <w:pStyle w:val="FootnoteText"/>
      </w:pPr>
      <w:r w:rsidRPr="0050797E">
        <w:t>in the 1950s</w:t>
      </w:r>
      <w:r w:rsidR="0050797E">
        <w:t>”</w:t>
      </w:r>
      <w:r w:rsidRPr="0050797E">
        <w:t>. Historical Studies in Education 17 (2): 237.</w:t>
      </w:r>
    </w:p>
  </w:footnote>
  <w:footnote w:id="9">
    <w:p w14:paraId="2A324B9E" w14:textId="68D0E9FD" w:rsidR="00BC7BB9" w:rsidRPr="0050797E" w:rsidRDefault="00BC7BB9">
      <w:pPr>
        <w:pStyle w:val="FootnoteText"/>
      </w:pPr>
      <w:r w:rsidRPr="0050797E">
        <w:rPr>
          <w:rStyle w:val="FootnoteReference"/>
        </w:rPr>
        <w:footnoteRef/>
      </w:r>
      <w:r w:rsidRPr="0050797E">
        <w:t xml:space="preserve"> Axelrod, </w:t>
      </w:r>
      <w:r w:rsidR="0050797E">
        <w:t>“</w:t>
      </w:r>
      <w:r w:rsidR="00B354DB" w:rsidRPr="0050797E">
        <w:t>Beyond the Progressive Education Debate</w:t>
      </w:r>
      <w:r w:rsidR="0050797E">
        <w:t>”</w:t>
      </w:r>
      <w:r w:rsidR="00B354DB" w:rsidRPr="0050797E">
        <w:t xml:space="preserve">, 239. </w:t>
      </w:r>
    </w:p>
  </w:footnote>
  <w:footnote w:id="10">
    <w:p w14:paraId="343521AF" w14:textId="75B24B9B" w:rsidR="00C676C3" w:rsidRPr="0050797E" w:rsidRDefault="00C676C3" w:rsidP="00C676C3">
      <w:pPr>
        <w:pStyle w:val="FootnoteText"/>
      </w:pPr>
      <w:r>
        <w:rPr>
          <w:rStyle w:val="FootnoteReference"/>
        </w:rPr>
        <w:footnoteRef/>
      </w:r>
      <w:r w:rsidRPr="00C676C3">
        <w:rPr>
          <w:lang w:val="es-ES"/>
        </w:rPr>
        <w:t xml:space="preserve"> </w:t>
      </w:r>
      <w:r w:rsidRPr="0050797E">
        <w:rPr>
          <w:lang w:val="es-ES"/>
        </w:rPr>
        <w:t xml:space="preserve">Dimaras, Eleni, Alicia Gismondi, Matt Hurley, and Jocelyn Yu. </w:t>
      </w:r>
      <w:r w:rsidR="0050797E" w:rsidRPr="0050797E">
        <w:t>“</w:t>
      </w:r>
      <w:r w:rsidRPr="0050797E">
        <w:t xml:space="preserve">Evolution of Sex Education in </w:t>
      </w:r>
    </w:p>
    <w:p w14:paraId="732C52DC" w14:textId="344E2E7B" w:rsidR="00C676C3" w:rsidRPr="0050797E" w:rsidRDefault="00C676C3" w:rsidP="00C676C3">
      <w:pPr>
        <w:pStyle w:val="FootnoteText"/>
      </w:pPr>
      <w:r w:rsidRPr="0050797E">
        <w:t>Ontario</w:t>
      </w:r>
      <w:r w:rsidR="0050797E">
        <w:t>”</w:t>
      </w:r>
      <w:r w:rsidRPr="0050797E">
        <w:t>. Select Subjects in the History of Ontario Education</w:t>
      </w:r>
      <w:r w:rsidR="001D4629" w:rsidRPr="0050797E">
        <w:t>:</w:t>
      </w:r>
      <w:r w:rsidR="007C7591" w:rsidRPr="0050797E">
        <w:t xml:space="preserve"> 4.</w:t>
      </w:r>
    </w:p>
  </w:footnote>
  <w:footnote w:id="11">
    <w:p w14:paraId="53CFCB38" w14:textId="7524307C" w:rsidR="00A42790" w:rsidRPr="0050797E" w:rsidRDefault="003D5469" w:rsidP="00A42790">
      <w:pPr>
        <w:pStyle w:val="FootnoteText"/>
      </w:pPr>
      <w:r w:rsidRPr="0050797E">
        <w:rPr>
          <w:rStyle w:val="FootnoteReference"/>
        </w:rPr>
        <w:footnoteRef/>
      </w:r>
      <w:r w:rsidRPr="0050797E">
        <w:t xml:space="preserve"> </w:t>
      </w:r>
      <w:r w:rsidR="00A42790" w:rsidRPr="0050797E">
        <w:t xml:space="preserve">Hutchinson Grondin, Michelle K P, </w:t>
      </w:r>
      <w:r w:rsidR="0050797E">
        <w:t>“</w:t>
      </w:r>
      <w:r w:rsidR="00A42790" w:rsidRPr="0050797E">
        <w:t xml:space="preserve">More Than Plumbing: The History of Sexual Education in </w:t>
      </w:r>
    </w:p>
    <w:p w14:paraId="34EEC558" w14:textId="3AB779D9" w:rsidR="003D5469" w:rsidRPr="0050797E" w:rsidRDefault="00A42790" w:rsidP="00A42790">
      <w:pPr>
        <w:pStyle w:val="FootnoteText"/>
      </w:pPr>
      <w:r w:rsidRPr="0050797E">
        <w:t>Ontario, 1960-1979</w:t>
      </w:r>
      <w:r w:rsidR="0050797E">
        <w:t>”</w:t>
      </w:r>
      <w:r w:rsidRPr="0050797E">
        <w:t xml:space="preserve"> (2015). Electronic Thesis and Dissertation Repository</w:t>
      </w:r>
      <w:r w:rsidR="001D4629" w:rsidRPr="0050797E">
        <w:t xml:space="preserve">: </w:t>
      </w:r>
      <w:r w:rsidR="004929BD" w:rsidRPr="0050797E">
        <w:t>4.</w:t>
      </w:r>
    </w:p>
  </w:footnote>
  <w:footnote w:id="12">
    <w:p w14:paraId="10D73EBE" w14:textId="28E2E448" w:rsidR="007438F5" w:rsidRPr="0050797E" w:rsidRDefault="007438F5">
      <w:pPr>
        <w:pStyle w:val="FootnoteText"/>
      </w:pPr>
      <w:r>
        <w:rPr>
          <w:rStyle w:val="FootnoteReference"/>
        </w:rPr>
        <w:footnoteRef/>
      </w:r>
      <w:r>
        <w:t xml:space="preserve"> Hutchison, </w:t>
      </w:r>
      <w:r w:rsidR="0050797E">
        <w:t>“</w:t>
      </w:r>
      <w:r w:rsidRPr="0050797E">
        <w:t>More Than Plumbing</w:t>
      </w:r>
      <w:r w:rsidR="0050797E">
        <w:t>”</w:t>
      </w:r>
      <w:r w:rsidRPr="0050797E">
        <w:t xml:space="preserve">, </w:t>
      </w:r>
      <w:r w:rsidR="00E92CEC" w:rsidRPr="0050797E">
        <w:t>36.</w:t>
      </w:r>
    </w:p>
  </w:footnote>
  <w:footnote w:id="13">
    <w:p w14:paraId="7AD4B117" w14:textId="5CCFF3D0" w:rsidR="001A74F7" w:rsidRPr="0050797E" w:rsidRDefault="002D3409" w:rsidP="001A74F7">
      <w:pPr>
        <w:pStyle w:val="FootnoteText"/>
      </w:pPr>
      <w:r w:rsidRPr="0050797E">
        <w:rPr>
          <w:rStyle w:val="FootnoteReference"/>
        </w:rPr>
        <w:footnoteRef/>
      </w:r>
      <w:r w:rsidRPr="0050797E">
        <w:t xml:space="preserve"> </w:t>
      </w:r>
      <w:r w:rsidR="00787239">
        <w:t>“</w:t>
      </w:r>
      <w:r w:rsidR="001A74F7" w:rsidRPr="0050797E">
        <w:t>Curriculum I-29. Physical and Health Education, Intermediate Division. 1966</w:t>
      </w:r>
      <w:r w:rsidR="00787239">
        <w:t>”</w:t>
      </w:r>
      <w:r w:rsidR="001A74F7" w:rsidRPr="0050797E">
        <w:t xml:space="preserve"> : Ontario. </w:t>
      </w:r>
    </w:p>
    <w:p w14:paraId="17A28886" w14:textId="55B8661E" w:rsidR="002D3409" w:rsidRPr="0050797E" w:rsidRDefault="001A74F7" w:rsidP="001A74F7">
      <w:pPr>
        <w:pStyle w:val="FootnoteText"/>
      </w:pPr>
      <w:r w:rsidRPr="0050797E">
        <w:t>Department of Education</w:t>
      </w:r>
      <w:r w:rsidR="00323D19" w:rsidRPr="0050797E">
        <w:t>, 30.</w:t>
      </w:r>
    </w:p>
  </w:footnote>
  <w:footnote w:id="14">
    <w:p w14:paraId="27A9129E" w14:textId="6454B9AD" w:rsidR="00703AB9" w:rsidRPr="0050797E" w:rsidRDefault="00FB53BE" w:rsidP="00703AB9">
      <w:pPr>
        <w:pStyle w:val="FootnoteText"/>
      </w:pPr>
      <w:r w:rsidRPr="0050797E">
        <w:rPr>
          <w:rStyle w:val="FootnoteReference"/>
        </w:rPr>
        <w:footnoteRef/>
      </w:r>
      <w:r w:rsidRPr="0050797E">
        <w:t xml:space="preserve"> </w:t>
      </w:r>
      <w:r w:rsidR="00787239">
        <w:t>“</w:t>
      </w:r>
      <w:r w:rsidR="00703AB9" w:rsidRPr="0050797E">
        <w:t>Physical and Health Education. Curriculum Guideline for the Intermediate Division. 1978</w:t>
      </w:r>
      <w:r w:rsidR="00787239">
        <w:t>”</w:t>
      </w:r>
      <w:r w:rsidR="00703AB9" w:rsidRPr="0050797E">
        <w:t xml:space="preserve"> : </w:t>
      </w:r>
    </w:p>
    <w:p w14:paraId="1446FADC" w14:textId="59B71C8B" w:rsidR="00FB53BE" w:rsidRPr="0050797E" w:rsidRDefault="00703AB9" w:rsidP="00703AB9">
      <w:pPr>
        <w:pStyle w:val="FootnoteText"/>
      </w:pPr>
      <w:r w:rsidRPr="0050797E">
        <w:t>Ontario. Ministry of Education</w:t>
      </w:r>
      <w:r w:rsidR="00AA7622" w:rsidRPr="0050797E">
        <w:t>, 34.</w:t>
      </w:r>
    </w:p>
  </w:footnote>
  <w:footnote w:id="15">
    <w:p w14:paraId="5B8BB8C7" w14:textId="748084D4" w:rsidR="002E7F0C" w:rsidRPr="0050797E" w:rsidRDefault="002E7F0C">
      <w:pPr>
        <w:pStyle w:val="FootnoteText"/>
      </w:pPr>
      <w:r w:rsidRPr="0050797E">
        <w:rPr>
          <w:rStyle w:val="FootnoteReference"/>
        </w:rPr>
        <w:footnoteRef/>
      </w:r>
      <w:r w:rsidRPr="0050797E">
        <w:t xml:space="preserve"> </w:t>
      </w:r>
      <w:r w:rsidR="00FE6503" w:rsidRPr="0050797E">
        <w:t xml:space="preserve">Hutchison, </w:t>
      </w:r>
      <w:r w:rsidR="00787239">
        <w:t>“</w:t>
      </w:r>
      <w:r w:rsidR="00FE6503" w:rsidRPr="0050797E">
        <w:t>More Than Plumbing</w:t>
      </w:r>
      <w:r w:rsidR="00787239">
        <w:t>”</w:t>
      </w:r>
      <w:r w:rsidR="00FE6503" w:rsidRPr="0050797E">
        <w:t>, 5.</w:t>
      </w:r>
    </w:p>
  </w:footnote>
  <w:footnote w:id="16">
    <w:p w14:paraId="0DCE07BB" w14:textId="0AB40A8F" w:rsidR="000062F9" w:rsidRPr="000062F9" w:rsidRDefault="000062F9">
      <w:pPr>
        <w:pStyle w:val="FootnoteText"/>
        <w:rPr>
          <w:i/>
        </w:rPr>
      </w:pPr>
      <w:r>
        <w:rPr>
          <w:rStyle w:val="FootnoteReference"/>
        </w:rPr>
        <w:footnoteRef/>
      </w:r>
      <w:r>
        <w:t xml:space="preserve"> </w:t>
      </w:r>
      <w:r w:rsidRPr="00485BE7">
        <w:t xml:space="preserve">Holly, Lesley. </w:t>
      </w:r>
      <w:r w:rsidRPr="000062F9">
        <w:rPr>
          <w:i/>
        </w:rPr>
        <w:t>Girls and</w:t>
      </w:r>
      <w:r w:rsidRPr="00485BE7">
        <w:t xml:space="preserve"> </w:t>
      </w:r>
      <w:r w:rsidRPr="00485BE7">
        <w:rPr>
          <w:i/>
        </w:rPr>
        <w:t xml:space="preserve">Sexuality : Teaching and Learning. </w:t>
      </w:r>
      <w:r w:rsidRPr="00485BE7">
        <w:t>Gender and Education. Open University Press, 1989.</w:t>
      </w:r>
      <w:r>
        <w:t xml:space="preserve"> 14.</w:t>
      </w:r>
    </w:p>
  </w:footnote>
  <w:footnote w:id="17">
    <w:p w14:paraId="5FB79CCF" w14:textId="6422E775" w:rsidR="00C1724C" w:rsidRDefault="00C1724C">
      <w:pPr>
        <w:pStyle w:val="FootnoteText"/>
      </w:pPr>
      <w:r w:rsidRPr="00150677">
        <w:rPr>
          <w:rStyle w:val="FootnoteReference"/>
          <w:i/>
        </w:rPr>
        <w:footnoteRef/>
      </w:r>
      <w:r w:rsidRPr="00150677">
        <w:rPr>
          <w:i/>
        </w:rPr>
        <w:t xml:space="preserve"> </w:t>
      </w:r>
      <w:r w:rsidR="00264930">
        <w:rPr>
          <w:i/>
        </w:rPr>
        <w:t>“</w:t>
      </w:r>
      <w:r w:rsidR="00150677" w:rsidRPr="00264930">
        <w:t>Ontario Health Education Curriculum 1998</w:t>
      </w:r>
      <w:r w:rsidR="00264930">
        <w:t>”</w:t>
      </w:r>
      <w:r w:rsidR="00150677" w:rsidRPr="00264930">
        <w:t xml:space="preserve">. </w:t>
      </w:r>
      <w:r w:rsidR="00150677" w:rsidRPr="00264930">
        <w:t>Parents</w:t>
      </w:r>
      <w:r w:rsidR="00150677" w:rsidRPr="00150677">
        <w:t xml:space="preserve"> Alliance of Ontario.</w:t>
      </w:r>
      <w:r w:rsidR="00150677">
        <w:t xml:space="preserve"> </w:t>
      </w:r>
      <w:r w:rsidR="006F2DBD">
        <w:t xml:space="preserve">24. </w:t>
      </w:r>
    </w:p>
  </w:footnote>
  <w:footnote w:id="18">
    <w:p w14:paraId="1FC74295" w14:textId="32E500D9" w:rsidR="001A7A3D" w:rsidRPr="00264930" w:rsidRDefault="00904498" w:rsidP="001A7A3D">
      <w:pPr>
        <w:pStyle w:val="FootnoteText"/>
      </w:pPr>
      <w:r>
        <w:rPr>
          <w:rStyle w:val="FootnoteReference"/>
        </w:rPr>
        <w:footnoteRef/>
      </w:r>
      <w:r>
        <w:t xml:space="preserve"> </w:t>
      </w:r>
      <w:r w:rsidR="001A7A3D">
        <w:t>Ajzenstat, J &amp; Gentles, IJ 1988</w:t>
      </w:r>
      <w:r w:rsidR="001A7A3D" w:rsidRPr="00264930">
        <w:t xml:space="preserve">, </w:t>
      </w:r>
      <w:r w:rsidR="001A7A3D" w:rsidRPr="00264930">
        <w:rPr>
          <w:i/>
        </w:rPr>
        <w:t>Sex education in Canada : a survey of policies and programs</w:t>
      </w:r>
      <w:r w:rsidR="001A7A3D" w:rsidRPr="00264930">
        <w:t xml:space="preserve">, </w:t>
      </w:r>
    </w:p>
    <w:p w14:paraId="2B2B75F9" w14:textId="70AC0370" w:rsidR="00904498" w:rsidRDefault="001A7A3D" w:rsidP="001A7A3D">
      <w:pPr>
        <w:pStyle w:val="FootnoteText"/>
      </w:pPr>
      <w:r>
        <w:t>Human Life Research Institute reports: no. 6, Toronto, Ont. : Human Life Research Institute, c1988</w:t>
      </w:r>
      <w:r w:rsidR="00E9656B">
        <w:t xml:space="preserve">, </w:t>
      </w:r>
      <w:r w:rsidR="003B22C9">
        <w:t>21.</w:t>
      </w:r>
    </w:p>
  </w:footnote>
  <w:footnote w:id="19">
    <w:p w14:paraId="6DDC8B3D" w14:textId="3B9502F9" w:rsidR="00065C4B" w:rsidRDefault="00065C4B">
      <w:pPr>
        <w:pStyle w:val="FootnoteText"/>
      </w:pPr>
      <w:r>
        <w:rPr>
          <w:rStyle w:val="FootnoteReference"/>
        </w:rPr>
        <w:footnoteRef/>
      </w:r>
      <w:r>
        <w:t xml:space="preserve"> </w:t>
      </w:r>
      <w:r>
        <w:t>Ajzenstat</w:t>
      </w:r>
      <w:r w:rsidR="009C4F8F">
        <w:t xml:space="preserve"> et. al, </w:t>
      </w:r>
      <w:r w:rsidRPr="001A7A3D">
        <w:rPr>
          <w:i/>
        </w:rPr>
        <w:t>Sex education in Canada</w:t>
      </w:r>
      <w:r w:rsidR="009C4F8F">
        <w:rPr>
          <w:i/>
        </w:rPr>
        <w:t xml:space="preserve">, 19. </w:t>
      </w:r>
    </w:p>
  </w:footnote>
  <w:footnote w:id="20">
    <w:p w14:paraId="0CF24AA5" w14:textId="3BAD36C4" w:rsidR="00EE171E" w:rsidRDefault="00EE171E">
      <w:pPr>
        <w:pStyle w:val="FootnoteText"/>
      </w:pPr>
      <w:r>
        <w:rPr>
          <w:rStyle w:val="FootnoteReference"/>
        </w:rPr>
        <w:footnoteRef/>
      </w:r>
      <w:r>
        <w:t xml:space="preserve"> Ibid. </w:t>
      </w:r>
    </w:p>
  </w:footnote>
  <w:footnote w:id="21">
    <w:p w14:paraId="570B48C4" w14:textId="403C1CD6" w:rsidR="002F56E0" w:rsidRDefault="002F56E0">
      <w:pPr>
        <w:pStyle w:val="FootnoteText"/>
      </w:pPr>
      <w:r>
        <w:rPr>
          <w:rStyle w:val="FootnoteReference"/>
        </w:rPr>
        <w:footnoteRef/>
      </w:r>
      <w:r>
        <w:t xml:space="preserve"> </w:t>
      </w:r>
      <w:r>
        <w:t xml:space="preserve">Ajzenstat et. al, </w:t>
      </w:r>
      <w:r w:rsidRPr="001A7A3D">
        <w:rPr>
          <w:i/>
        </w:rPr>
        <w:t>Sex education in Canada</w:t>
      </w:r>
      <w:r>
        <w:rPr>
          <w:i/>
        </w:rPr>
        <w:t xml:space="preserve">, </w:t>
      </w:r>
      <w:r w:rsidR="006F50AF">
        <w:rPr>
          <w:i/>
        </w:rPr>
        <w:t>15.</w:t>
      </w:r>
    </w:p>
  </w:footnote>
  <w:footnote w:id="22">
    <w:p w14:paraId="4A860F2F" w14:textId="23DD01AA" w:rsidR="00B858A9" w:rsidRDefault="00B858A9">
      <w:pPr>
        <w:pStyle w:val="FootnoteText"/>
      </w:pPr>
      <w:r>
        <w:rPr>
          <w:rStyle w:val="FootnoteReference"/>
        </w:rPr>
        <w:footnoteRef/>
      </w:r>
      <w:r>
        <w:t xml:space="preserve"> Ibid. </w:t>
      </w:r>
    </w:p>
  </w:footnote>
  <w:footnote w:id="23">
    <w:p w14:paraId="0A69D9B7" w14:textId="0E14D719" w:rsidR="005B46E7" w:rsidRDefault="005B46E7">
      <w:pPr>
        <w:pStyle w:val="FootnoteText"/>
      </w:pPr>
      <w:r>
        <w:rPr>
          <w:rStyle w:val="FootnoteReference"/>
        </w:rPr>
        <w:footnoteRef/>
      </w:r>
      <w:r>
        <w:t xml:space="preserve"> </w:t>
      </w:r>
      <w:r w:rsidR="00F07306" w:rsidRPr="00F07306">
        <w:t>Causarano, Natalie, Jason D. Pole, and Sarah Flicker</w:t>
      </w:r>
      <w:r w:rsidR="00F07306" w:rsidRPr="00D9151D">
        <w:rPr>
          <w:i/>
        </w:rPr>
        <w:t xml:space="preserve">. </w:t>
      </w:r>
      <w:r w:rsidR="007A2E1C">
        <w:rPr>
          <w:i/>
        </w:rPr>
        <w:t>“</w:t>
      </w:r>
      <w:r w:rsidR="00F07306" w:rsidRPr="007A2E1C">
        <w:t>Exposure to and Desire for Sexual Health Education among Urban Youth: Associations with Religion and Other Factors</w:t>
      </w:r>
      <w:r w:rsidR="007A2E1C">
        <w:t>”</w:t>
      </w:r>
      <w:r w:rsidR="00F07306" w:rsidRPr="007A2E1C">
        <w:t>.</w:t>
      </w:r>
      <w:r w:rsidR="00D9151D">
        <w:t xml:space="preserve"> </w:t>
      </w:r>
      <w:r w:rsidR="00F07306" w:rsidRPr="00F07306">
        <w:t>Canadian Journal of Human Sexuality 19, no. 4 (December 2010): 1</w:t>
      </w:r>
      <w:r w:rsidR="00973C06">
        <w:t>70</w:t>
      </w:r>
      <w:r w:rsidR="00F07306" w:rsidRPr="00F07306">
        <w:t>.</w:t>
      </w:r>
    </w:p>
  </w:footnote>
  <w:footnote w:id="24">
    <w:p w14:paraId="5D16D557" w14:textId="56CE63DB" w:rsidR="00F20BDA" w:rsidRPr="0036709D" w:rsidRDefault="00F20BDA" w:rsidP="00F20BDA">
      <w:pPr>
        <w:pStyle w:val="FootnoteText"/>
        <w:rPr>
          <w:i/>
        </w:rPr>
      </w:pPr>
      <w:r>
        <w:rPr>
          <w:rStyle w:val="FootnoteReference"/>
        </w:rPr>
        <w:footnoteRef/>
      </w:r>
      <w:r>
        <w:t xml:space="preserve"> </w:t>
      </w:r>
      <w:r>
        <w:t xml:space="preserve">Edward S. Herold, Kathryn E. Kopf, and Maria De Carlo. </w:t>
      </w:r>
      <w:r w:rsidR="00205337">
        <w:t>“</w:t>
      </w:r>
      <w:r w:rsidRPr="00205337">
        <w:t>Family Life Education: Student</w:t>
      </w:r>
      <w:r w:rsidRPr="0036709D">
        <w:rPr>
          <w:i/>
        </w:rPr>
        <w:t xml:space="preserve"> </w:t>
      </w:r>
    </w:p>
    <w:p w14:paraId="500350F5" w14:textId="4F43EAE0" w:rsidR="00F20BDA" w:rsidRDefault="00F20BDA" w:rsidP="00F20BDA">
      <w:pPr>
        <w:pStyle w:val="FootnoteText"/>
      </w:pPr>
      <w:r w:rsidRPr="00205337">
        <w:t>Perspectives</w:t>
      </w:r>
      <w:r w:rsidR="00205337">
        <w:t>”</w:t>
      </w:r>
      <w:r w:rsidRPr="00205337">
        <w:t>.</w:t>
      </w:r>
      <w:r>
        <w:rPr>
          <w:i/>
        </w:rPr>
        <w:t xml:space="preserve"> </w:t>
      </w:r>
      <w:r>
        <w:t xml:space="preserve">Canadian Journal of Public Health / Revue Canadienne de Sante’e </w:t>
      </w:r>
    </w:p>
    <w:p w14:paraId="11B28B7F" w14:textId="63632EA6" w:rsidR="00F20BDA" w:rsidRDefault="00F20BDA">
      <w:pPr>
        <w:pStyle w:val="FootnoteText"/>
      </w:pPr>
      <w:r>
        <w:t>Publique 65, no. 5 (1974): 366.</w:t>
      </w:r>
    </w:p>
  </w:footnote>
  <w:footnote w:id="25">
    <w:p w14:paraId="296EE83E" w14:textId="1D892668" w:rsidR="00FA62F5" w:rsidRDefault="00FA62F5" w:rsidP="0036709D">
      <w:pPr>
        <w:pStyle w:val="FootnoteText"/>
      </w:pPr>
      <w:r>
        <w:rPr>
          <w:rStyle w:val="FootnoteReference"/>
        </w:rPr>
        <w:footnoteRef/>
      </w:r>
      <w:r w:rsidR="00F20BDA">
        <w:t>Ibid.</w:t>
      </w:r>
    </w:p>
  </w:footnote>
  <w:footnote w:id="26">
    <w:p w14:paraId="65DF996D" w14:textId="7FF16A6D" w:rsidR="000C37D7" w:rsidRPr="00151845" w:rsidRDefault="000C37D7">
      <w:pPr>
        <w:pStyle w:val="FootnoteText"/>
      </w:pPr>
      <w:r>
        <w:rPr>
          <w:rStyle w:val="FootnoteReference"/>
        </w:rPr>
        <w:footnoteRef/>
      </w:r>
      <w:r>
        <w:t xml:space="preserve"> </w:t>
      </w:r>
      <w:r>
        <w:t>Edward S</w:t>
      </w:r>
      <w:r w:rsidR="00151845">
        <w:t xml:space="preserve"> et. al, </w:t>
      </w:r>
      <w:r w:rsidR="006F7445">
        <w:t>“</w:t>
      </w:r>
      <w:r w:rsidR="00151845" w:rsidRPr="006F7445">
        <w:t>Family Life Education</w:t>
      </w:r>
      <w:r w:rsidR="006F7445">
        <w:rPr>
          <w:i/>
        </w:rPr>
        <w:t>”</w:t>
      </w:r>
      <w:r w:rsidR="00151845">
        <w:rPr>
          <w:i/>
        </w:rPr>
        <w:t xml:space="preserve">, </w:t>
      </w:r>
      <w:r w:rsidR="00151845">
        <w:t xml:space="preserve">367. </w:t>
      </w:r>
    </w:p>
  </w:footnote>
  <w:footnote w:id="27">
    <w:p w14:paraId="172205E1" w14:textId="28AC35B0" w:rsidR="007C0D4C" w:rsidRDefault="007C0D4C">
      <w:pPr>
        <w:pStyle w:val="FootnoteText"/>
      </w:pPr>
      <w:r>
        <w:rPr>
          <w:rStyle w:val="FootnoteReference"/>
        </w:rPr>
        <w:footnoteRef/>
      </w:r>
      <w:r>
        <w:t xml:space="preserve"> </w:t>
      </w:r>
      <w:r w:rsidRPr="007C0D4C">
        <w:t>Teitel, Emma. “A New School Holiday for Ignorance.” Macleans.ca, Macleans Magazine, 20 Sept. 2012</w:t>
      </w:r>
      <w:r w:rsidR="00332178">
        <w:t>.</w:t>
      </w:r>
    </w:p>
  </w:footnote>
  <w:footnote w:id="28">
    <w:p w14:paraId="1602FB9C" w14:textId="77777777" w:rsidR="004003D1" w:rsidRDefault="008E377B" w:rsidP="004003D1">
      <w:pPr>
        <w:pStyle w:val="FootnoteText"/>
      </w:pPr>
      <w:r>
        <w:rPr>
          <w:rStyle w:val="FootnoteReference"/>
        </w:rPr>
        <w:footnoteRef/>
      </w:r>
      <w:r>
        <w:t xml:space="preserve"> </w:t>
      </w:r>
      <w:r w:rsidR="004003D1">
        <w:t xml:space="preserve">Pomeroy, Wardell Baxter. </w:t>
      </w:r>
      <w:r w:rsidR="004003D1" w:rsidRPr="004003D1">
        <w:rPr>
          <w:i/>
        </w:rPr>
        <w:t>Your Child and Sex; a Guide for Parents</w:t>
      </w:r>
      <w:r w:rsidR="004003D1">
        <w:t xml:space="preserve">. New York: Delacorte Press, </w:t>
      </w:r>
    </w:p>
    <w:p w14:paraId="0883F831" w14:textId="7121F83E" w:rsidR="008E377B" w:rsidRDefault="004003D1" w:rsidP="004003D1">
      <w:pPr>
        <w:pStyle w:val="FootnoteText"/>
      </w:pPr>
      <w:r>
        <w:t>[1974], 1974.</w:t>
      </w:r>
      <w:r>
        <w:t xml:space="preserve"> 13. </w:t>
      </w:r>
    </w:p>
  </w:footnote>
  <w:footnote w:id="29">
    <w:p w14:paraId="31AF1061" w14:textId="339363D9" w:rsidR="008F162B" w:rsidRPr="00D80D8C" w:rsidRDefault="008F162B">
      <w:pPr>
        <w:pStyle w:val="FootnoteText"/>
      </w:pPr>
      <w:r>
        <w:rPr>
          <w:rStyle w:val="FootnoteReference"/>
        </w:rPr>
        <w:footnoteRef/>
      </w:r>
      <w:r>
        <w:t xml:space="preserve"> </w:t>
      </w:r>
      <w:r w:rsidR="000863E2">
        <w:t xml:space="preserve">Pomeroy, </w:t>
      </w:r>
      <w:r w:rsidR="000863E2" w:rsidRPr="004003D1">
        <w:rPr>
          <w:i/>
        </w:rPr>
        <w:t>Your Child and Sex</w:t>
      </w:r>
      <w:r w:rsidR="000863E2">
        <w:rPr>
          <w:i/>
        </w:rPr>
        <w:t>,</w:t>
      </w:r>
      <w:r w:rsidR="00D80D8C">
        <w:rPr>
          <w:i/>
        </w:rPr>
        <w:t xml:space="preserve"> </w:t>
      </w:r>
      <w:r w:rsidR="00D80D8C">
        <w:t>1</w:t>
      </w:r>
      <w:r w:rsidR="0082541B">
        <w:t>45</w:t>
      </w:r>
      <w:r w:rsidR="00D80D8C">
        <w:t xml:space="preserve">. </w:t>
      </w:r>
    </w:p>
  </w:footnote>
  <w:footnote w:id="30">
    <w:p w14:paraId="2DA945F1" w14:textId="1773800A" w:rsidR="00A92CA8" w:rsidRDefault="00A92CA8">
      <w:pPr>
        <w:pStyle w:val="FootnoteText"/>
      </w:pPr>
      <w:r>
        <w:rPr>
          <w:rStyle w:val="FootnoteReference"/>
        </w:rPr>
        <w:footnoteRef/>
      </w:r>
      <w:r>
        <w:t xml:space="preserve"> </w:t>
      </w:r>
      <w:bookmarkStart w:id="0" w:name="_Hlk6584055"/>
      <w:r w:rsidR="00485BE7" w:rsidRPr="00485BE7">
        <w:t>Lesley</w:t>
      </w:r>
      <w:r w:rsidR="005E0BEA">
        <w:t>,</w:t>
      </w:r>
      <w:r w:rsidR="00485BE7" w:rsidRPr="00485BE7">
        <w:t xml:space="preserve"> </w:t>
      </w:r>
      <w:r w:rsidR="00485BE7" w:rsidRPr="000062F9">
        <w:rPr>
          <w:i/>
        </w:rPr>
        <w:t>Girls and</w:t>
      </w:r>
      <w:r w:rsidR="00485BE7" w:rsidRPr="00485BE7">
        <w:t xml:space="preserve"> </w:t>
      </w:r>
      <w:r w:rsidR="005E0BEA">
        <w:rPr>
          <w:i/>
        </w:rPr>
        <w:t xml:space="preserve">Sexuality, </w:t>
      </w:r>
      <w:r w:rsidR="00A66CBC">
        <w:t>13-14.</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543912"/>
      <w:docPartObj>
        <w:docPartGallery w:val="Page Numbers (Top of Page)"/>
        <w:docPartUnique/>
      </w:docPartObj>
    </w:sdtPr>
    <w:sdtEndPr>
      <w:rPr>
        <w:noProof/>
      </w:rPr>
    </w:sdtEndPr>
    <w:sdtContent>
      <w:p w14:paraId="7A69E62C" w14:textId="1F453CCE" w:rsidR="00F96094" w:rsidRDefault="00F96094">
        <w:pPr>
          <w:pStyle w:val="Header"/>
          <w:jc w:val="right"/>
        </w:pPr>
        <w:r>
          <w:t xml:space="preserve">Stainton </w:t>
        </w:r>
        <w:r>
          <w:fldChar w:fldCharType="begin"/>
        </w:r>
        <w:r>
          <w:instrText xml:space="preserve"> PAGE   \* MERGEFORMAT </w:instrText>
        </w:r>
        <w:r>
          <w:fldChar w:fldCharType="separate"/>
        </w:r>
        <w:r>
          <w:rPr>
            <w:noProof/>
          </w:rPr>
          <w:t>2</w:t>
        </w:r>
        <w:r>
          <w:rPr>
            <w:noProof/>
          </w:rPr>
          <w:fldChar w:fldCharType="end"/>
        </w:r>
      </w:p>
    </w:sdtContent>
  </w:sdt>
  <w:p w14:paraId="72571EB0" w14:textId="77777777" w:rsidR="00F96094" w:rsidRDefault="00F96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61"/>
    <w:rsid w:val="00001BB6"/>
    <w:rsid w:val="000062F9"/>
    <w:rsid w:val="0001479B"/>
    <w:rsid w:val="00015992"/>
    <w:rsid w:val="000224D2"/>
    <w:rsid w:val="00023078"/>
    <w:rsid w:val="0002378A"/>
    <w:rsid w:val="00040D51"/>
    <w:rsid w:val="00053084"/>
    <w:rsid w:val="00065C4B"/>
    <w:rsid w:val="00073A0F"/>
    <w:rsid w:val="000819CA"/>
    <w:rsid w:val="000863E2"/>
    <w:rsid w:val="000908D3"/>
    <w:rsid w:val="000C042B"/>
    <w:rsid w:val="000C37D7"/>
    <w:rsid w:val="000C382F"/>
    <w:rsid w:val="000D2FF7"/>
    <w:rsid w:val="000D5D8E"/>
    <w:rsid w:val="000D5FBA"/>
    <w:rsid w:val="000D6292"/>
    <w:rsid w:val="000D6CF8"/>
    <w:rsid w:val="000F0B33"/>
    <w:rsid w:val="000F2EE8"/>
    <w:rsid w:val="0010689F"/>
    <w:rsid w:val="00121B27"/>
    <w:rsid w:val="001222FB"/>
    <w:rsid w:val="00124F15"/>
    <w:rsid w:val="00131E7A"/>
    <w:rsid w:val="00147FB8"/>
    <w:rsid w:val="00150677"/>
    <w:rsid w:val="00151845"/>
    <w:rsid w:val="00151C8F"/>
    <w:rsid w:val="0017187E"/>
    <w:rsid w:val="001729A8"/>
    <w:rsid w:val="00176175"/>
    <w:rsid w:val="00176D50"/>
    <w:rsid w:val="00182071"/>
    <w:rsid w:val="00185634"/>
    <w:rsid w:val="001941BA"/>
    <w:rsid w:val="001942C2"/>
    <w:rsid w:val="001A3ADC"/>
    <w:rsid w:val="001A7001"/>
    <w:rsid w:val="001A74F7"/>
    <w:rsid w:val="001A7A3D"/>
    <w:rsid w:val="001B0322"/>
    <w:rsid w:val="001B4EF9"/>
    <w:rsid w:val="001C436A"/>
    <w:rsid w:val="001D06D6"/>
    <w:rsid w:val="001D0774"/>
    <w:rsid w:val="001D4204"/>
    <w:rsid w:val="001D4629"/>
    <w:rsid w:val="001E1196"/>
    <w:rsid w:val="001F6B8E"/>
    <w:rsid w:val="00205337"/>
    <w:rsid w:val="00205EED"/>
    <w:rsid w:val="00224E65"/>
    <w:rsid w:val="00241A76"/>
    <w:rsid w:val="00247C7D"/>
    <w:rsid w:val="00252AF8"/>
    <w:rsid w:val="00252FE4"/>
    <w:rsid w:val="00253105"/>
    <w:rsid w:val="00257405"/>
    <w:rsid w:val="00264930"/>
    <w:rsid w:val="0026596D"/>
    <w:rsid w:val="002867CA"/>
    <w:rsid w:val="0029340D"/>
    <w:rsid w:val="002A0A8E"/>
    <w:rsid w:val="002A345E"/>
    <w:rsid w:val="002A6213"/>
    <w:rsid w:val="002A653C"/>
    <w:rsid w:val="002A71D5"/>
    <w:rsid w:val="002A79A1"/>
    <w:rsid w:val="002B0BE8"/>
    <w:rsid w:val="002C0324"/>
    <w:rsid w:val="002C1FED"/>
    <w:rsid w:val="002C4BF8"/>
    <w:rsid w:val="002C50E7"/>
    <w:rsid w:val="002C5EC8"/>
    <w:rsid w:val="002D06E8"/>
    <w:rsid w:val="002D07D9"/>
    <w:rsid w:val="002D3265"/>
    <w:rsid w:val="002D3409"/>
    <w:rsid w:val="002E3612"/>
    <w:rsid w:val="002E3FCA"/>
    <w:rsid w:val="002E4FBD"/>
    <w:rsid w:val="002E6D68"/>
    <w:rsid w:val="002E7F0C"/>
    <w:rsid w:val="002F0A90"/>
    <w:rsid w:val="002F56E0"/>
    <w:rsid w:val="00303270"/>
    <w:rsid w:val="00311619"/>
    <w:rsid w:val="00315678"/>
    <w:rsid w:val="00317258"/>
    <w:rsid w:val="00323D19"/>
    <w:rsid w:val="0032401E"/>
    <w:rsid w:val="00325EE2"/>
    <w:rsid w:val="0032647C"/>
    <w:rsid w:val="00332178"/>
    <w:rsid w:val="00332B92"/>
    <w:rsid w:val="00333171"/>
    <w:rsid w:val="00334263"/>
    <w:rsid w:val="00345FD7"/>
    <w:rsid w:val="003559A5"/>
    <w:rsid w:val="00357580"/>
    <w:rsid w:val="0036709D"/>
    <w:rsid w:val="00367E52"/>
    <w:rsid w:val="00372F81"/>
    <w:rsid w:val="00376F92"/>
    <w:rsid w:val="003908BF"/>
    <w:rsid w:val="003943F0"/>
    <w:rsid w:val="00397D0D"/>
    <w:rsid w:val="003A0E90"/>
    <w:rsid w:val="003A35AD"/>
    <w:rsid w:val="003A3E88"/>
    <w:rsid w:val="003A4772"/>
    <w:rsid w:val="003B22C9"/>
    <w:rsid w:val="003B26EF"/>
    <w:rsid w:val="003C07D9"/>
    <w:rsid w:val="003C5605"/>
    <w:rsid w:val="003C5B2A"/>
    <w:rsid w:val="003D24F5"/>
    <w:rsid w:val="003D5469"/>
    <w:rsid w:val="003D5D40"/>
    <w:rsid w:val="003D7329"/>
    <w:rsid w:val="003F1547"/>
    <w:rsid w:val="003F1965"/>
    <w:rsid w:val="003F22BE"/>
    <w:rsid w:val="004003D1"/>
    <w:rsid w:val="00402ECE"/>
    <w:rsid w:val="004043F9"/>
    <w:rsid w:val="00413EC7"/>
    <w:rsid w:val="004168C0"/>
    <w:rsid w:val="004210F7"/>
    <w:rsid w:val="00423E69"/>
    <w:rsid w:val="00426D03"/>
    <w:rsid w:val="0043527D"/>
    <w:rsid w:val="00435DB9"/>
    <w:rsid w:val="004411FE"/>
    <w:rsid w:val="004413A5"/>
    <w:rsid w:val="00446E08"/>
    <w:rsid w:val="00456F71"/>
    <w:rsid w:val="0046620A"/>
    <w:rsid w:val="00467404"/>
    <w:rsid w:val="004814ED"/>
    <w:rsid w:val="00485BE7"/>
    <w:rsid w:val="00487942"/>
    <w:rsid w:val="004929BD"/>
    <w:rsid w:val="004946FB"/>
    <w:rsid w:val="004A0CB5"/>
    <w:rsid w:val="004A149C"/>
    <w:rsid w:val="004A2DB4"/>
    <w:rsid w:val="004A6F80"/>
    <w:rsid w:val="004B0DB1"/>
    <w:rsid w:val="004B1E6B"/>
    <w:rsid w:val="004B6EEA"/>
    <w:rsid w:val="004F62F6"/>
    <w:rsid w:val="00501B56"/>
    <w:rsid w:val="0050797E"/>
    <w:rsid w:val="0051311A"/>
    <w:rsid w:val="00520F24"/>
    <w:rsid w:val="00552B5F"/>
    <w:rsid w:val="00556476"/>
    <w:rsid w:val="00562384"/>
    <w:rsid w:val="00565D83"/>
    <w:rsid w:val="00566B93"/>
    <w:rsid w:val="00573111"/>
    <w:rsid w:val="005734FC"/>
    <w:rsid w:val="00575A59"/>
    <w:rsid w:val="00580133"/>
    <w:rsid w:val="005830B8"/>
    <w:rsid w:val="00586253"/>
    <w:rsid w:val="0058711A"/>
    <w:rsid w:val="00590C83"/>
    <w:rsid w:val="00592C17"/>
    <w:rsid w:val="00597621"/>
    <w:rsid w:val="005A1C78"/>
    <w:rsid w:val="005A2E23"/>
    <w:rsid w:val="005A7743"/>
    <w:rsid w:val="005B1006"/>
    <w:rsid w:val="005B3911"/>
    <w:rsid w:val="005B46E7"/>
    <w:rsid w:val="005B4926"/>
    <w:rsid w:val="005B7EC8"/>
    <w:rsid w:val="005C29C6"/>
    <w:rsid w:val="005C77B0"/>
    <w:rsid w:val="005D7204"/>
    <w:rsid w:val="005E0BEA"/>
    <w:rsid w:val="005E1100"/>
    <w:rsid w:val="00610CB8"/>
    <w:rsid w:val="00611346"/>
    <w:rsid w:val="00613FA1"/>
    <w:rsid w:val="00614491"/>
    <w:rsid w:val="00615F84"/>
    <w:rsid w:val="00623C08"/>
    <w:rsid w:val="006242EB"/>
    <w:rsid w:val="00627CC6"/>
    <w:rsid w:val="006302CF"/>
    <w:rsid w:val="006363EF"/>
    <w:rsid w:val="00641753"/>
    <w:rsid w:val="006424B3"/>
    <w:rsid w:val="006470E8"/>
    <w:rsid w:val="006639AB"/>
    <w:rsid w:val="00667F35"/>
    <w:rsid w:val="00671942"/>
    <w:rsid w:val="006720E2"/>
    <w:rsid w:val="00673212"/>
    <w:rsid w:val="006877E9"/>
    <w:rsid w:val="00692CEC"/>
    <w:rsid w:val="006A00E5"/>
    <w:rsid w:val="006A7EC8"/>
    <w:rsid w:val="006B0FF9"/>
    <w:rsid w:val="006B131E"/>
    <w:rsid w:val="006C3722"/>
    <w:rsid w:val="006C64DF"/>
    <w:rsid w:val="006C787E"/>
    <w:rsid w:val="006D5E26"/>
    <w:rsid w:val="006D608E"/>
    <w:rsid w:val="006E0176"/>
    <w:rsid w:val="006E43C9"/>
    <w:rsid w:val="006E4854"/>
    <w:rsid w:val="006F2A8B"/>
    <w:rsid w:val="006F2DBD"/>
    <w:rsid w:val="006F45A6"/>
    <w:rsid w:val="006F482D"/>
    <w:rsid w:val="006F50AF"/>
    <w:rsid w:val="006F7445"/>
    <w:rsid w:val="00701A0D"/>
    <w:rsid w:val="00703AB9"/>
    <w:rsid w:val="00706306"/>
    <w:rsid w:val="00711475"/>
    <w:rsid w:val="0071333F"/>
    <w:rsid w:val="007154A4"/>
    <w:rsid w:val="00720A09"/>
    <w:rsid w:val="00723941"/>
    <w:rsid w:val="007275F6"/>
    <w:rsid w:val="007308D0"/>
    <w:rsid w:val="0074024F"/>
    <w:rsid w:val="00741D36"/>
    <w:rsid w:val="007438F5"/>
    <w:rsid w:val="00743ACA"/>
    <w:rsid w:val="00744498"/>
    <w:rsid w:val="007466ED"/>
    <w:rsid w:val="00754D67"/>
    <w:rsid w:val="0075728A"/>
    <w:rsid w:val="007630A3"/>
    <w:rsid w:val="007667B2"/>
    <w:rsid w:val="00767EE6"/>
    <w:rsid w:val="00772D79"/>
    <w:rsid w:val="00775067"/>
    <w:rsid w:val="00775D6A"/>
    <w:rsid w:val="00780396"/>
    <w:rsid w:val="00785217"/>
    <w:rsid w:val="00787239"/>
    <w:rsid w:val="0079400B"/>
    <w:rsid w:val="007965D7"/>
    <w:rsid w:val="007A2E1C"/>
    <w:rsid w:val="007A3C21"/>
    <w:rsid w:val="007A4F12"/>
    <w:rsid w:val="007A6325"/>
    <w:rsid w:val="007A7A80"/>
    <w:rsid w:val="007B2A39"/>
    <w:rsid w:val="007B44EC"/>
    <w:rsid w:val="007B5C2B"/>
    <w:rsid w:val="007B61A2"/>
    <w:rsid w:val="007C04D0"/>
    <w:rsid w:val="007C0D4C"/>
    <w:rsid w:val="007C7591"/>
    <w:rsid w:val="007D109B"/>
    <w:rsid w:val="007D1E47"/>
    <w:rsid w:val="007D4278"/>
    <w:rsid w:val="007D48A3"/>
    <w:rsid w:val="007E290E"/>
    <w:rsid w:val="007F2092"/>
    <w:rsid w:val="007F5BA7"/>
    <w:rsid w:val="008013DF"/>
    <w:rsid w:val="008019C2"/>
    <w:rsid w:val="008025B6"/>
    <w:rsid w:val="00811F7B"/>
    <w:rsid w:val="008203AC"/>
    <w:rsid w:val="00821C92"/>
    <w:rsid w:val="0082541B"/>
    <w:rsid w:val="008254CA"/>
    <w:rsid w:val="00833861"/>
    <w:rsid w:val="00834F79"/>
    <w:rsid w:val="00842802"/>
    <w:rsid w:val="00850B49"/>
    <w:rsid w:val="00851571"/>
    <w:rsid w:val="008561CB"/>
    <w:rsid w:val="00862652"/>
    <w:rsid w:val="008633C3"/>
    <w:rsid w:val="00871C9E"/>
    <w:rsid w:val="00873919"/>
    <w:rsid w:val="008945F8"/>
    <w:rsid w:val="008B4CA3"/>
    <w:rsid w:val="008C23D1"/>
    <w:rsid w:val="008D3443"/>
    <w:rsid w:val="008D6471"/>
    <w:rsid w:val="008E377B"/>
    <w:rsid w:val="008F162B"/>
    <w:rsid w:val="008F4413"/>
    <w:rsid w:val="008F5D6F"/>
    <w:rsid w:val="00904498"/>
    <w:rsid w:val="00914569"/>
    <w:rsid w:val="00917846"/>
    <w:rsid w:val="00922E9A"/>
    <w:rsid w:val="009256C8"/>
    <w:rsid w:val="009306A5"/>
    <w:rsid w:val="00930F18"/>
    <w:rsid w:val="00932A72"/>
    <w:rsid w:val="009408FB"/>
    <w:rsid w:val="00955FD3"/>
    <w:rsid w:val="00961EC6"/>
    <w:rsid w:val="00973C06"/>
    <w:rsid w:val="00976109"/>
    <w:rsid w:val="009779F4"/>
    <w:rsid w:val="00980C1F"/>
    <w:rsid w:val="00985EDE"/>
    <w:rsid w:val="00994D12"/>
    <w:rsid w:val="009A274E"/>
    <w:rsid w:val="009A4E63"/>
    <w:rsid w:val="009A5CF2"/>
    <w:rsid w:val="009C0E7E"/>
    <w:rsid w:val="009C4F8F"/>
    <w:rsid w:val="009C7656"/>
    <w:rsid w:val="009D1089"/>
    <w:rsid w:val="009D2926"/>
    <w:rsid w:val="009D4618"/>
    <w:rsid w:val="009D6D51"/>
    <w:rsid w:val="009D7A6A"/>
    <w:rsid w:val="009E0016"/>
    <w:rsid w:val="009E07A5"/>
    <w:rsid w:val="009F43FB"/>
    <w:rsid w:val="009F44CF"/>
    <w:rsid w:val="00A044EA"/>
    <w:rsid w:val="00A41D3F"/>
    <w:rsid w:val="00A42790"/>
    <w:rsid w:val="00A568BF"/>
    <w:rsid w:val="00A65E85"/>
    <w:rsid w:val="00A65F15"/>
    <w:rsid w:val="00A66CBC"/>
    <w:rsid w:val="00A67CDB"/>
    <w:rsid w:val="00A67F3D"/>
    <w:rsid w:val="00A72AD1"/>
    <w:rsid w:val="00A7358D"/>
    <w:rsid w:val="00A7488D"/>
    <w:rsid w:val="00A763EC"/>
    <w:rsid w:val="00A834C5"/>
    <w:rsid w:val="00A83D26"/>
    <w:rsid w:val="00A866B7"/>
    <w:rsid w:val="00A87235"/>
    <w:rsid w:val="00A922D3"/>
    <w:rsid w:val="00A92CA8"/>
    <w:rsid w:val="00AA20A2"/>
    <w:rsid w:val="00AA460B"/>
    <w:rsid w:val="00AA7622"/>
    <w:rsid w:val="00AB1D22"/>
    <w:rsid w:val="00AB1D2A"/>
    <w:rsid w:val="00AB323B"/>
    <w:rsid w:val="00AC3B1B"/>
    <w:rsid w:val="00AD0DEC"/>
    <w:rsid w:val="00AD0EDC"/>
    <w:rsid w:val="00AD4FF6"/>
    <w:rsid w:val="00AE18C5"/>
    <w:rsid w:val="00AE5CE0"/>
    <w:rsid w:val="00AF6D46"/>
    <w:rsid w:val="00B009FB"/>
    <w:rsid w:val="00B04D6C"/>
    <w:rsid w:val="00B06A86"/>
    <w:rsid w:val="00B072E5"/>
    <w:rsid w:val="00B13ECB"/>
    <w:rsid w:val="00B14E8D"/>
    <w:rsid w:val="00B14F61"/>
    <w:rsid w:val="00B15BB8"/>
    <w:rsid w:val="00B15DF0"/>
    <w:rsid w:val="00B20225"/>
    <w:rsid w:val="00B230A9"/>
    <w:rsid w:val="00B24420"/>
    <w:rsid w:val="00B24427"/>
    <w:rsid w:val="00B31730"/>
    <w:rsid w:val="00B351E4"/>
    <w:rsid w:val="00B354DB"/>
    <w:rsid w:val="00B422C2"/>
    <w:rsid w:val="00B44349"/>
    <w:rsid w:val="00B502F1"/>
    <w:rsid w:val="00B545E1"/>
    <w:rsid w:val="00B56E68"/>
    <w:rsid w:val="00B57042"/>
    <w:rsid w:val="00B61A14"/>
    <w:rsid w:val="00B71FBE"/>
    <w:rsid w:val="00B75C7C"/>
    <w:rsid w:val="00B75FD1"/>
    <w:rsid w:val="00B8028D"/>
    <w:rsid w:val="00B811E6"/>
    <w:rsid w:val="00B85652"/>
    <w:rsid w:val="00B858A9"/>
    <w:rsid w:val="00B92469"/>
    <w:rsid w:val="00B94EAC"/>
    <w:rsid w:val="00B97B17"/>
    <w:rsid w:val="00BA194D"/>
    <w:rsid w:val="00BB3B7F"/>
    <w:rsid w:val="00BB42F5"/>
    <w:rsid w:val="00BB64FE"/>
    <w:rsid w:val="00BC7BB9"/>
    <w:rsid w:val="00BF4FBF"/>
    <w:rsid w:val="00BF5224"/>
    <w:rsid w:val="00BF7334"/>
    <w:rsid w:val="00C041B0"/>
    <w:rsid w:val="00C058DB"/>
    <w:rsid w:val="00C07B13"/>
    <w:rsid w:val="00C13651"/>
    <w:rsid w:val="00C1724C"/>
    <w:rsid w:val="00C37CF7"/>
    <w:rsid w:val="00C4238C"/>
    <w:rsid w:val="00C4678F"/>
    <w:rsid w:val="00C50182"/>
    <w:rsid w:val="00C523F3"/>
    <w:rsid w:val="00C53B2D"/>
    <w:rsid w:val="00C563CE"/>
    <w:rsid w:val="00C64DDF"/>
    <w:rsid w:val="00C66707"/>
    <w:rsid w:val="00C66F1C"/>
    <w:rsid w:val="00C676C3"/>
    <w:rsid w:val="00C73B4C"/>
    <w:rsid w:val="00C74812"/>
    <w:rsid w:val="00C75043"/>
    <w:rsid w:val="00C85869"/>
    <w:rsid w:val="00C9007B"/>
    <w:rsid w:val="00C90C68"/>
    <w:rsid w:val="00C91DF5"/>
    <w:rsid w:val="00C92337"/>
    <w:rsid w:val="00C9291C"/>
    <w:rsid w:val="00C9395E"/>
    <w:rsid w:val="00C963D6"/>
    <w:rsid w:val="00CA4644"/>
    <w:rsid w:val="00CB1F7E"/>
    <w:rsid w:val="00CC4467"/>
    <w:rsid w:val="00CD7D9A"/>
    <w:rsid w:val="00CE3C70"/>
    <w:rsid w:val="00CE77F7"/>
    <w:rsid w:val="00D005EF"/>
    <w:rsid w:val="00D0097D"/>
    <w:rsid w:val="00D00A3B"/>
    <w:rsid w:val="00D05A55"/>
    <w:rsid w:val="00D07F79"/>
    <w:rsid w:val="00D12EA7"/>
    <w:rsid w:val="00D160D0"/>
    <w:rsid w:val="00D17C4C"/>
    <w:rsid w:val="00D206E7"/>
    <w:rsid w:val="00D24404"/>
    <w:rsid w:val="00D24E90"/>
    <w:rsid w:val="00D30A58"/>
    <w:rsid w:val="00D33684"/>
    <w:rsid w:val="00D34541"/>
    <w:rsid w:val="00D37BE3"/>
    <w:rsid w:val="00D437ED"/>
    <w:rsid w:val="00D46936"/>
    <w:rsid w:val="00D54C78"/>
    <w:rsid w:val="00D576C5"/>
    <w:rsid w:val="00D6405A"/>
    <w:rsid w:val="00D7093B"/>
    <w:rsid w:val="00D71B59"/>
    <w:rsid w:val="00D72E3C"/>
    <w:rsid w:val="00D73DC5"/>
    <w:rsid w:val="00D74561"/>
    <w:rsid w:val="00D77E37"/>
    <w:rsid w:val="00D80D8C"/>
    <w:rsid w:val="00D85693"/>
    <w:rsid w:val="00D9151D"/>
    <w:rsid w:val="00D974FB"/>
    <w:rsid w:val="00DA123A"/>
    <w:rsid w:val="00DA24F0"/>
    <w:rsid w:val="00DA4DE3"/>
    <w:rsid w:val="00DA5699"/>
    <w:rsid w:val="00DB01F1"/>
    <w:rsid w:val="00DB3DF8"/>
    <w:rsid w:val="00DC1C76"/>
    <w:rsid w:val="00DD3078"/>
    <w:rsid w:val="00DD6DA3"/>
    <w:rsid w:val="00DD71A7"/>
    <w:rsid w:val="00DE233C"/>
    <w:rsid w:val="00DE5BEC"/>
    <w:rsid w:val="00DE6741"/>
    <w:rsid w:val="00DE7DA0"/>
    <w:rsid w:val="00DF59F4"/>
    <w:rsid w:val="00E0073B"/>
    <w:rsid w:val="00E04597"/>
    <w:rsid w:val="00E129FE"/>
    <w:rsid w:val="00E1502C"/>
    <w:rsid w:val="00E1559D"/>
    <w:rsid w:val="00E179CB"/>
    <w:rsid w:val="00E25176"/>
    <w:rsid w:val="00E26595"/>
    <w:rsid w:val="00E27F9A"/>
    <w:rsid w:val="00E32115"/>
    <w:rsid w:val="00E36028"/>
    <w:rsid w:val="00E4179F"/>
    <w:rsid w:val="00E44702"/>
    <w:rsid w:val="00E4604D"/>
    <w:rsid w:val="00E543F3"/>
    <w:rsid w:val="00E55817"/>
    <w:rsid w:val="00E5608F"/>
    <w:rsid w:val="00E6784F"/>
    <w:rsid w:val="00E705A7"/>
    <w:rsid w:val="00E7395A"/>
    <w:rsid w:val="00E87161"/>
    <w:rsid w:val="00E8754E"/>
    <w:rsid w:val="00E92CEC"/>
    <w:rsid w:val="00E95850"/>
    <w:rsid w:val="00E9656B"/>
    <w:rsid w:val="00EA120B"/>
    <w:rsid w:val="00EA76A5"/>
    <w:rsid w:val="00EB62E1"/>
    <w:rsid w:val="00EC6969"/>
    <w:rsid w:val="00ED1779"/>
    <w:rsid w:val="00ED5F64"/>
    <w:rsid w:val="00EE171E"/>
    <w:rsid w:val="00EE60B7"/>
    <w:rsid w:val="00EE74F5"/>
    <w:rsid w:val="00EF343B"/>
    <w:rsid w:val="00EF37D3"/>
    <w:rsid w:val="00EF4D63"/>
    <w:rsid w:val="00F02462"/>
    <w:rsid w:val="00F044B7"/>
    <w:rsid w:val="00F07306"/>
    <w:rsid w:val="00F079DD"/>
    <w:rsid w:val="00F12754"/>
    <w:rsid w:val="00F12A15"/>
    <w:rsid w:val="00F20BDA"/>
    <w:rsid w:val="00F21322"/>
    <w:rsid w:val="00F27CDC"/>
    <w:rsid w:val="00F3024E"/>
    <w:rsid w:val="00F363FF"/>
    <w:rsid w:val="00F378DA"/>
    <w:rsid w:val="00F432D0"/>
    <w:rsid w:val="00F50A8C"/>
    <w:rsid w:val="00F55E11"/>
    <w:rsid w:val="00F5669F"/>
    <w:rsid w:val="00F6132A"/>
    <w:rsid w:val="00F620BB"/>
    <w:rsid w:val="00F738CC"/>
    <w:rsid w:val="00F819E0"/>
    <w:rsid w:val="00F81A4E"/>
    <w:rsid w:val="00F91340"/>
    <w:rsid w:val="00F96094"/>
    <w:rsid w:val="00F97FCC"/>
    <w:rsid w:val="00FA0352"/>
    <w:rsid w:val="00FA1D39"/>
    <w:rsid w:val="00FA62F5"/>
    <w:rsid w:val="00FA7CE9"/>
    <w:rsid w:val="00FB00AE"/>
    <w:rsid w:val="00FB3A58"/>
    <w:rsid w:val="00FB53BE"/>
    <w:rsid w:val="00FD1475"/>
    <w:rsid w:val="00FD25A2"/>
    <w:rsid w:val="00FE3874"/>
    <w:rsid w:val="00FE6503"/>
    <w:rsid w:val="00FF50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8D1E"/>
  <w15:chartTrackingRefBased/>
  <w15:docId w15:val="{50F74A16-D3CB-450A-9534-41718D82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4DE3"/>
    <w:pPr>
      <w:spacing w:after="0" w:line="240" w:lineRule="auto"/>
    </w:pPr>
    <w:rPr>
      <w:sz w:val="20"/>
      <w:szCs w:val="20"/>
    </w:rPr>
  </w:style>
  <w:style w:type="character" w:customStyle="1" w:styleId="FootnoteTextChar">
    <w:name w:val="Footnote Text Char"/>
    <w:basedOn w:val="DefaultParagraphFont"/>
    <w:link w:val="FootnoteText"/>
    <w:uiPriority w:val="99"/>
    <w:rsid w:val="00DA4DE3"/>
    <w:rPr>
      <w:sz w:val="20"/>
      <w:szCs w:val="20"/>
    </w:rPr>
  </w:style>
  <w:style w:type="character" w:styleId="FootnoteReference">
    <w:name w:val="footnote reference"/>
    <w:basedOn w:val="DefaultParagraphFont"/>
    <w:uiPriority w:val="99"/>
    <w:semiHidden/>
    <w:unhideWhenUsed/>
    <w:rsid w:val="00DA4DE3"/>
    <w:rPr>
      <w:vertAlign w:val="superscript"/>
    </w:rPr>
  </w:style>
  <w:style w:type="paragraph" w:styleId="Header">
    <w:name w:val="header"/>
    <w:basedOn w:val="Normal"/>
    <w:link w:val="HeaderChar"/>
    <w:uiPriority w:val="99"/>
    <w:unhideWhenUsed/>
    <w:rsid w:val="00F96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094"/>
  </w:style>
  <w:style w:type="paragraph" w:styleId="Footer">
    <w:name w:val="footer"/>
    <w:basedOn w:val="Normal"/>
    <w:link w:val="FooterChar"/>
    <w:uiPriority w:val="99"/>
    <w:unhideWhenUsed/>
    <w:rsid w:val="00F96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094"/>
  </w:style>
  <w:style w:type="paragraph" w:customStyle="1" w:styleId="DecimalAligned">
    <w:name w:val="Decimal Aligned"/>
    <w:basedOn w:val="Normal"/>
    <w:uiPriority w:val="40"/>
    <w:qFormat/>
    <w:rsid w:val="008D3443"/>
    <w:pPr>
      <w:tabs>
        <w:tab w:val="decimal" w:pos="360"/>
      </w:tabs>
      <w:spacing w:after="200" w:line="276" w:lineRule="auto"/>
    </w:pPr>
    <w:rPr>
      <w:rFonts w:eastAsiaTheme="minorEastAsia" w:cs="Times New Roman"/>
      <w:lang w:val="en-US"/>
    </w:rPr>
  </w:style>
  <w:style w:type="character" w:styleId="SubtleEmphasis">
    <w:name w:val="Subtle Emphasis"/>
    <w:basedOn w:val="DefaultParagraphFont"/>
    <w:uiPriority w:val="19"/>
    <w:qFormat/>
    <w:rsid w:val="008D3443"/>
    <w:rPr>
      <w:i/>
      <w:iCs/>
    </w:rPr>
  </w:style>
  <w:style w:type="table" w:styleId="LightShading-Accent1">
    <w:name w:val="Light Shading Accent 1"/>
    <w:basedOn w:val="TableNormal"/>
    <w:uiPriority w:val="60"/>
    <w:rsid w:val="008D3443"/>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DefaultParagraphFont"/>
    <w:uiPriority w:val="99"/>
    <w:unhideWhenUsed/>
    <w:rsid w:val="00DE6741"/>
    <w:rPr>
      <w:color w:val="0563C1" w:themeColor="hyperlink"/>
      <w:u w:val="single"/>
    </w:rPr>
  </w:style>
  <w:style w:type="paragraph" w:styleId="NormalWeb">
    <w:name w:val="Normal (Web)"/>
    <w:basedOn w:val="Normal"/>
    <w:uiPriority w:val="99"/>
    <w:unhideWhenUsed/>
    <w:rsid w:val="00DE674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87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urriculumhistory.org/Studies_in_Curriculum_History_and_Educational_Philosophy/Select_Subjects_in_the_History_of_Ontario_Educatio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4D150-2BD3-4095-A594-C142BB24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Stainton</dc:creator>
  <cp:keywords/>
  <dc:description/>
  <cp:lastModifiedBy>Hannah Stainton</cp:lastModifiedBy>
  <cp:revision>18</cp:revision>
  <dcterms:created xsi:type="dcterms:W3CDTF">2019-04-20T03:45:00Z</dcterms:created>
  <dcterms:modified xsi:type="dcterms:W3CDTF">2019-04-20T04:00:00Z</dcterms:modified>
</cp:coreProperties>
</file>